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1D4B" w:rsidRDefault="00DC2F62">
      <w:pPr>
        <w:jc w:val="center"/>
        <w:rPr>
          <w:rFonts w:ascii="黑体" w:eastAsia="黑体" w:hAnsi="黑体" w:cs="黑体"/>
          <w:b/>
          <w:sz w:val="32"/>
          <w:szCs w:val="32"/>
        </w:rPr>
      </w:pPr>
      <w:r>
        <w:rPr>
          <w:rFonts w:ascii="黑体" w:eastAsia="黑体" w:hAnsi="黑体" w:cs="黑体" w:hint="eastAsia"/>
          <w:b/>
          <w:sz w:val="32"/>
          <w:szCs w:val="32"/>
        </w:rPr>
        <w:t>新材料与加工技术类</w:t>
      </w:r>
      <w:r>
        <w:rPr>
          <w:rFonts w:ascii="黑体" w:eastAsia="黑体" w:hAnsi="黑体" w:cs="黑体" w:hint="eastAsia"/>
          <w:b/>
          <w:sz w:val="32"/>
          <w:szCs w:val="32"/>
        </w:rPr>
        <w:t>2024</w:t>
      </w:r>
      <w:r>
        <w:rPr>
          <w:rFonts w:ascii="黑体" w:eastAsia="黑体" w:hAnsi="黑体" w:cs="黑体" w:hint="eastAsia"/>
          <w:b/>
          <w:sz w:val="32"/>
          <w:szCs w:val="32"/>
        </w:rPr>
        <w:t>级本科生主修专业</w:t>
      </w:r>
      <w:r>
        <w:rPr>
          <w:rFonts w:ascii="黑体" w:eastAsia="黑体" w:hAnsi="黑体" w:cs="黑体"/>
          <w:b/>
          <w:sz w:val="32"/>
          <w:szCs w:val="32"/>
        </w:rPr>
        <w:t>确认</w:t>
      </w:r>
      <w:r>
        <w:rPr>
          <w:rFonts w:ascii="黑体" w:eastAsia="黑体" w:hAnsi="黑体" w:cs="黑体" w:hint="eastAsia"/>
          <w:b/>
          <w:sz w:val="32"/>
          <w:szCs w:val="32"/>
        </w:rPr>
        <w:t>实施细则</w:t>
      </w:r>
    </w:p>
    <w:p w:rsidR="00801D4B" w:rsidRDefault="00801D4B">
      <w:pPr>
        <w:spacing w:line="360" w:lineRule="auto"/>
        <w:jc w:val="left"/>
        <w:rPr>
          <w:rFonts w:ascii="仿宋_GB2312" w:eastAsia="仿宋_GB2312" w:hAnsi="宋体"/>
          <w:b/>
          <w:sz w:val="32"/>
          <w:szCs w:val="32"/>
        </w:rPr>
      </w:pPr>
    </w:p>
    <w:p w:rsidR="00801D4B" w:rsidRDefault="00DC2F62">
      <w:pPr>
        <w:numPr>
          <w:ilvl w:val="0"/>
          <w:numId w:val="1"/>
        </w:numPr>
        <w:spacing w:line="360" w:lineRule="auto"/>
        <w:ind w:firstLine="684"/>
        <w:jc w:val="left"/>
        <w:rPr>
          <w:rFonts w:ascii="仿宋_GB2312" w:eastAsia="仿宋_GB2312" w:hAnsi="宋体"/>
          <w:b/>
          <w:sz w:val="32"/>
          <w:szCs w:val="32"/>
        </w:rPr>
      </w:pPr>
      <w:r>
        <w:rPr>
          <w:rFonts w:ascii="仿宋_GB2312" w:eastAsia="仿宋_GB2312" w:hAnsi="宋体" w:hint="eastAsia"/>
          <w:b/>
          <w:sz w:val="32"/>
          <w:szCs w:val="32"/>
        </w:rPr>
        <w:t>基本原则</w:t>
      </w:r>
    </w:p>
    <w:p w:rsidR="00801D4B" w:rsidRDefault="00DC2F62">
      <w:pPr>
        <w:pStyle w:val="msolistparagraph0"/>
        <w:widowControl/>
        <w:adjustRightInd w:val="0"/>
        <w:snapToGrid w:val="0"/>
        <w:spacing w:line="560" w:lineRule="exact"/>
        <w:ind w:firstLine="640"/>
        <w:jc w:val="left"/>
        <w:rPr>
          <w:rFonts w:ascii="仿宋_GB2312" w:eastAsia="仿宋_GB2312" w:hAnsi="仿宋_GB2312" w:cs="仿宋_GB2312"/>
          <w:kern w:val="0"/>
          <w:sz w:val="32"/>
          <w:szCs w:val="32"/>
        </w:rPr>
      </w:pPr>
      <w:r>
        <w:rPr>
          <w:rFonts w:ascii="仿宋_GB2312" w:eastAsia="仿宋_GB2312" w:hAnsi="仿宋_GB2312" w:cs="仿宋_GB2312" w:hint="eastAsia"/>
          <w:sz w:val="32"/>
          <w:szCs w:val="32"/>
        </w:rPr>
        <w:t>（一）以学生发展为中心，坚持公开、公平、公正的原则，充分</w:t>
      </w:r>
      <w:r>
        <w:rPr>
          <w:rFonts w:ascii="仿宋_GB2312" w:eastAsia="仿宋_GB2312" w:hAnsi="仿宋_GB2312" w:cs="仿宋_GB2312" w:hint="eastAsia"/>
          <w:kern w:val="0"/>
          <w:sz w:val="32"/>
          <w:szCs w:val="32"/>
        </w:rPr>
        <w:t>发挥学院主体作用。</w:t>
      </w:r>
    </w:p>
    <w:p w:rsidR="00801D4B" w:rsidRDefault="00DC2F62">
      <w:pPr>
        <w:pStyle w:val="a4"/>
        <w:adjustRightInd w:val="0"/>
        <w:snapToGrid w:val="0"/>
        <w:spacing w:line="56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kern w:val="0"/>
          <w:sz w:val="32"/>
          <w:szCs w:val="32"/>
        </w:rPr>
        <w:t>（二）</w:t>
      </w:r>
      <w:r>
        <w:rPr>
          <w:rFonts w:ascii="仿宋_GB2312" w:eastAsia="仿宋_GB2312" w:hAnsi="仿宋_GB2312" w:cs="仿宋_GB2312" w:hint="eastAsia"/>
          <w:sz w:val="32"/>
          <w:szCs w:val="32"/>
        </w:rPr>
        <w:t>主修专业确认是指按大类招生的学生入学后须选择某一专业作为自己的主修专业。入学时按专业招生的学生不在主修专业确认范围。主修专业确认的原则是在所属招生大类内设置的各专业里选择并确认主修专业。</w:t>
      </w:r>
    </w:p>
    <w:p w:rsidR="00801D4B" w:rsidRDefault="00DC2F62" w:rsidP="00D50224">
      <w:pPr>
        <w:numPr>
          <w:ilvl w:val="0"/>
          <w:numId w:val="1"/>
        </w:numPr>
        <w:spacing w:beforeLines="50" w:afterLines="50" w:line="360" w:lineRule="auto"/>
        <w:ind w:firstLine="686"/>
        <w:jc w:val="left"/>
        <w:rPr>
          <w:rFonts w:ascii="仿宋_GB2312" w:eastAsia="仿宋_GB2312" w:hAnsi="宋体"/>
          <w:b/>
          <w:sz w:val="32"/>
          <w:szCs w:val="32"/>
        </w:rPr>
      </w:pPr>
      <w:r>
        <w:rPr>
          <w:rFonts w:ascii="仿宋_GB2312" w:eastAsia="仿宋_GB2312" w:hAnsi="宋体" w:hint="eastAsia"/>
          <w:b/>
          <w:sz w:val="32"/>
          <w:szCs w:val="32"/>
        </w:rPr>
        <w:t>组织与领导</w:t>
      </w:r>
    </w:p>
    <w:p w:rsidR="00801D4B" w:rsidRDefault="00DC2F62">
      <w:pPr>
        <w:pStyle w:val="a4"/>
        <w:adjustRightInd w:val="0"/>
        <w:snapToGrid w:val="0"/>
        <w:spacing w:line="56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材料科学与工程学院成立本科生主修专业</w:t>
      </w:r>
      <w:r>
        <w:rPr>
          <w:rFonts w:ascii="仿宋_GB2312" w:eastAsia="仿宋_GB2312" w:hAnsi="仿宋_GB2312" w:cs="仿宋_GB2312"/>
          <w:sz w:val="32"/>
          <w:szCs w:val="32"/>
        </w:rPr>
        <w:t>确认</w:t>
      </w:r>
      <w:r>
        <w:rPr>
          <w:rFonts w:ascii="仿宋_GB2312" w:eastAsia="仿宋_GB2312" w:hAnsi="仿宋_GB2312" w:cs="仿宋_GB2312" w:hint="eastAsia"/>
          <w:sz w:val="32"/>
          <w:szCs w:val="32"/>
        </w:rPr>
        <w:t>工作委员会，具体构成如下：</w:t>
      </w:r>
    </w:p>
    <w:p w:rsidR="00801D4B" w:rsidRDefault="00DC2F62">
      <w:pPr>
        <w:pStyle w:val="a4"/>
        <w:adjustRightInd w:val="0"/>
        <w:snapToGrid w:val="0"/>
        <w:spacing w:line="56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组长：刘一、何春年</w:t>
      </w:r>
    </w:p>
    <w:p w:rsidR="00801D4B" w:rsidRDefault="00DC2F62">
      <w:pPr>
        <w:pStyle w:val="a4"/>
        <w:adjustRightInd w:val="0"/>
        <w:snapToGrid w:val="0"/>
        <w:spacing w:line="56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副组长：王颖（党委副书记）、王颖（副院长）</w:t>
      </w:r>
    </w:p>
    <w:p w:rsidR="00801D4B" w:rsidRDefault="00DC2F62">
      <w:pPr>
        <w:pStyle w:val="a4"/>
        <w:adjustRightInd w:val="0"/>
        <w:snapToGrid w:val="0"/>
        <w:spacing w:line="56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委员：李悦生、朱胜利、侯峰、徐连勇、杜希文、贾慧珍、王吉会、苏冬、杨立军、李方、王明阳（团委）</w:t>
      </w:r>
    </w:p>
    <w:p w:rsidR="00801D4B" w:rsidRDefault="00DC2F62">
      <w:pPr>
        <w:pStyle w:val="a4"/>
        <w:adjustRightInd w:val="0"/>
        <w:snapToGrid w:val="0"/>
        <w:spacing w:line="56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咨询联系人：高玉婷</w:t>
      </w:r>
    </w:p>
    <w:p w:rsidR="00801D4B" w:rsidRDefault="00DC2F62">
      <w:pPr>
        <w:pStyle w:val="a4"/>
        <w:adjustRightInd w:val="0"/>
        <w:snapToGrid w:val="0"/>
        <w:spacing w:line="56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联系</w:t>
      </w:r>
      <w:r>
        <w:rPr>
          <w:rFonts w:ascii="仿宋_GB2312" w:eastAsia="仿宋_GB2312" w:hAnsi="仿宋_GB2312" w:cs="仿宋_GB2312"/>
          <w:sz w:val="32"/>
          <w:szCs w:val="32"/>
        </w:rPr>
        <w:t>电话：</w:t>
      </w:r>
      <w:r>
        <w:rPr>
          <w:rFonts w:ascii="仿宋_GB2312" w:eastAsia="仿宋_GB2312" w:hAnsi="仿宋_GB2312" w:cs="仿宋_GB2312" w:hint="eastAsia"/>
          <w:sz w:val="32"/>
          <w:szCs w:val="32"/>
        </w:rPr>
        <w:t>022-85356633</w:t>
      </w:r>
    </w:p>
    <w:p w:rsidR="00801D4B" w:rsidRDefault="00DC2F62" w:rsidP="00D50224">
      <w:pPr>
        <w:numPr>
          <w:ilvl w:val="0"/>
          <w:numId w:val="1"/>
        </w:numPr>
        <w:spacing w:beforeLines="50" w:afterLines="50" w:line="360" w:lineRule="auto"/>
        <w:ind w:firstLine="686"/>
        <w:jc w:val="left"/>
        <w:rPr>
          <w:rFonts w:ascii="仿宋_GB2312" w:eastAsia="仿宋_GB2312" w:hAnsi="宋体"/>
          <w:b/>
          <w:sz w:val="32"/>
          <w:szCs w:val="32"/>
        </w:rPr>
      </w:pPr>
      <w:r>
        <w:rPr>
          <w:rFonts w:ascii="仿宋_GB2312" w:eastAsia="仿宋_GB2312" w:hAnsi="宋体" w:hint="eastAsia"/>
          <w:b/>
          <w:sz w:val="32"/>
          <w:szCs w:val="32"/>
        </w:rPr>
        <w:t>主修专业及专业方向确认实施办法</w:t>
      </w:r>
    </w:p>
    <w:p w:rsidR="00801D4B" w:rsidRDefault="00DC2F62">
      <w:pPr>
        <w:pStyle w:val="aa"/>
        <w:numPr>
          <w:ilvl w:val="0"/>
          <w:numId w:val="2"/>
        </w:numPr>
        <w:spacing w:line="360" w:lineRule="auto"/>
        <w:ind w:firstLineChars="0"/>
        <w:jc w:val="left"/>
        <w:rPr>
          <w:rFonts w:ascii="仿宋_GB2312" w:eastAsia="仿宋_GB2312" w:hAnsi="宋体"/>
          <w:b/>
          <w:sz w:val="32"/>
          <w:szCs w:val="32"/>
        </w:rPr>
      </w:pPr>
      <w:r>
        <w:rPr>
          <w:rFonts w:ascii="仿宋_GB2312" w:eastAsia="仿宋_GB2312" w:hAnsi="宋体" w:hint="eastAsia"/>
          <w:b/>
          <w:sz w:val="32"/>
          <w:szCs w:val="32"/>
        </w:rPr>
        <w:t>类内各专业基本名额及上浮比例</w:t>
      </w:r>
    </w:p>
    <w:p w:rsidR="00801D4B" w:rsidRDefault="00DC2F62">
      <w:pPr>
        <w:pStyle w:val="a4"/>
        <w:adjustRightInd w:val="0"/>
        <w:snapToGrid w:val="0"/>
        <w:spacing w:line="560" w:lineRule="exact"/>
        <w:ind w:firstLineChars="200" w:firstLine="560"/>
        <w:jc w:val="left"/>
        <w:rPr>
          <w:rFonts w:ascii="仿宋_GB2312" w:eastAsia="仿宋_GB2312" w:hAnsi="仿宋_GB2312" w:cs="仿宋_GB2312"/>
          <w:sz w:val="32"/>
          <w:szCs w:val="32"/>
        </w:rPr>
      </w:pPr>
      <w:r>
        <w:rPr>
          <w:rFonts w:ascii="宋体" w:hAnsi="宋体" w:hint="eastAsia"/>
          <w:sz w:val="28"/>
          <w:szCs w:val="28"/>
        </w:rPr>
        <w:t xml:space="preserve">    </w:t>
      </w:r>
      <w:r>
        <w:rPr>
          <w:rFonts w:ascii="仿宋_GB2312" w:eastAsia="仿宋_GB2312" w:hAnsi="仿宋_GB2312" w:cs="仿宋_GB2312" w:hint="eastAsia"/>
          <w:sz w:val="32"/>
          <w:szCs w:val="32"/>
        </w:rPr>
        <w:t>综合考虑各专业原有基数、培养特色、优势，并兼顾各专业师资情况，</w:t>
      </w:r>
      <w:r>
        <w:rPr>
          <w:rFonts w:ascii="仿宋_GB2312" w:eastAsia="仿宋_GB2312" w:hAnsi="仿宋_GB2312" w:cs="仿宋_GB2312" w:hint="eastAsia"/>
          <w:sz w:val="32"/>
          <w:szCs w:val="32"/>
        </w:rPr>
        <w:t>原则上</w:t>
      </w:r>
      <w:r>
        <w:rPr>
          <w:rFonts w:ascii="仿宋_GB2312" w:eastAsia="仿宋_GB2312" w:hAnsi="仿宋_GB2312" w:cs="仿宋_GB2312" w:hint="eastAsia"/>
          <w:sz w:val="32"/>
          <w:szCs w:val="32"/>
        </w:rPr>
        <w:t>确定各专业招生比例如下：</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540"/>
        <w:gridCol w:w="2079"/>
      </w:tblGrid>
      <w:tr w:rsidR="00801D4B">
        <w:trPr>
          <w:trHeight w:val="1268"/>
          <w:jc w:val="center"/>
        </w:trPr>
        <w:tc>
          <w:tcPr>
            <w:tcW w:w="5540" w:type="dxa"/>
            <w:vAlign w:val="center"/>
          </w:tcPr>
          <w:p w:rsidR="00801D4B" w:rsidRDefault="00DC2F62">
            <w:pPr>
              <w:jc w:val="center"/>
              <w:rPr>
                <w:rFonts w:ascii="仿宋_GB2312" w:eastAsia="仿宋_GB2312" w:hAnsi="宋体"/>
                <w:sz w:val="28"/>
                <w:szCs w:val="28"/>
              </w:rPr>
            </w:pPr>
            <w:r>
              <w:rPr>
                <w:rFonts w:ascii="仿宋_GB2312" w:eastAsia="仿宋_GB2312" w:hAnsi="宋体" w:hint="eastAsia"/>
                <w:sz w:val="28"/>
                <w:szCs w:val="28"/>
              </w:rPr>
              <w:lastRenderedPageBreak/>
              <w:t>类</w:t>
            </w:r>
            <w:proofErr w:type="gramStart"/>
            <w:r>
              <w:rPr>
                <w:rFonts w:ascii="仿宋_GB2312" w:eastAsia="仿宋_GB2312" w:hAnsi="宋体" w:hint="eastAsia"/>
                <w:sz w:val="28"/>
                <w:szCs w:val="28"/>
              </w:rPr>
              <w:t>内专业</w:t>
            </w:r>
            <w:proofErr w:type="gramEnd"/>
            <w:r>
              <w:rPr>
                <w:rFonts w:ascii="仿宋_GB2312" w:eastAsia="仿宋_GB2312" w:hAnsi="宋体" w:hint="eastAsia"/>
                <w:sz w:val="28"/>
                <w:szCs w:val="28"/>
              </w:rPr>
              <w:t>名称</w:t>
            </w:r>
          </w:p>
        </w:tc>
        <w:tc>
          <w:tcPr>
            <w:tcW w:w="2079" w:type="dxa"/>
            <w:vAlign w:val="center"/>
          </w:tcPr>
          <w:p w:rsidR="00801D4B" w:rsidRDefault="00DC2F62">
            <w:pPr>
              <w:jc w:val="center"/>
              <w:rPr>
                <w:rFonts w:ascii="仿宋_GB2312" w:eastAsia="仿宋_GB2312" w:hAnsi="宋体"/>
                <w:sz w:val="28"/>
                <w:szCs w:val="28"/>
              </w:rPr>
            </w:pPr>
            <w:r>
              <w:rPr>
                <w:rFonts w:ascii="仿宋_GB2312" w:eastAsia="仿宋_GB2312" w:hAnsi="宋体" w:hint="eastAsia"/>
                <w:sz w:val="28"/>
                <w:szCs w:val="28"/>
              </w:rPr>
              <w:t>占大类招生</w:t>
            </w:r>
            <w:r>
              <w:rPr>
                <w:rFonts w:ascii="仿宋_GB2312" w:eastAsia="仿宋_GB2312" w:hAnsi="宋体" w:hint="eastAsia"/>
                <w:sz w:val="28"/>
                <w:szCs w:val="28"/>
              </w:rPr>
              <w:t xml:space="preserve">       </w:t>
            </w:r>
            <w:r>
              <w:rPr>
                <w:rFonts w:ascii="仿宋_GB2312" w:eastAsia="仿宋_GB2312" w:hAnsi="宋体" w:hint="eastAsia"/>
                <w:sz w:val="28"/>
                <w:szCs w:val="28"/>
              </w:rPr>
              <w:t>人数比例</w:t>
            </w:r>
          </w:p>
        </w:tc>
      </w:tr>
      <w:tr w:rsidR="00801D4B">
        <w:trPr>
          <w:trHeight w:val="639"/>
          <w:jc w:val="center"/>
        </w:trPr>
        <w:tc>
          <w:tcPr>
            <w:tcW w:w="5540" w:type="dxa"/>
            <w:vAlign w:val="center"/>
          </w:tcPr>
          <w:p w:rsidR="00801D4B" w:rsidRDefault="00DC2F62">
            <w:pPr>
              <w:jc w:val="center"/>
              <w:rPr>
                <w:rFonts w:ascii="仿宋_GB2312" w:eastAsia="仿宋_GB2312" w:hAnsi="宋体"/>
                <w:color w:val="000000"/>
                <w:sz w:val="28"/>
                <w:szCs w:val="28"/>
              </w:rPr>
            </w:pPr>
            <w:r>
              <w:rPr>
                <w:rFonts w:ascii="仿宋_GB2312" w:eastAsia="仿宋_GB2312" w:hAnsi="宋体" w:hint="eastAsia"/>
                <w:color w:val="000000"/>
                <w:sz w:val="28"/>
                <w:szCs w:val="28"/>
              </w:rPr>
              <w:t>材料科学与工程（先进高分子材料）</w:t>
            </w:r>
          </w:p>
        </w:tc>
        <w:tc>
          <w:tcPr>
            <w:tcW w:w="2079" w:type="dxa"/>
            <w:vAlign w:val="center"/>
          </w:tcPr>
          <w:p w:rsidR="00801D4B" w:rsidRDefault="00DC2F62">
            <w:pPr>
              <w:spacing w:line="360" w:lineRule="auto"/>
              <w:jc w:val="center"/>
              <w:rPr>
                <w:rFonts w:ascii="仿宋_GB2312" w:eastAsia="仿宋_GB2312" w:hAnsi="宋体"/>
                <w:color w:val="000000"/>
                <w:sz w:val="28"/>
                <w:szCs w:val="28"/>
              </w:rPr>
            </w:pPr>
            <w:r>
              <w:rPr>
                <w:rFonts w:ascii="仿宋_GB2312" w:eastAsia="仿宋_GB2312" w:hAnsi="宋体" w:hint="eastAsia"/>
                <w:color w:val="000000"/>
                <w:sz w:val="28"/>
                <w:szCs w:val="28"/>
              </w:rPr>
              <w:t>30</w:t>
            </w:r>
            <w:r>
              <w:rPr>
                <w:rFonts w:ascii="仿宋_GB2312" w:eastAsia="仿宋_GB2312" w:hAnsi="宋体" w:hint="eastAsia"/>
                <w:color w:val="000000"/>
                <w:sz w:val="28"/>
                <w:szCs w:val="28"/>
              </w:rPr>
              <w:t>%</w:t>
            </w:r>
          </w:p>
        </w:tc>
      </w:tr>
      <w:tr w:rsidR="00801D4B">
        <w:trPr>
          <w:trHeight w:val="639"/>
          <w:jc w:val="center"/>
        </w:trPr>
        <w:tc>
          <w:tcPr>
            <w:tcW w:w="5540" w:type="dxa"/>
            <w:vAlign w:val="center"/>
          </w:tcPr>
          <w:p w:rsidR="00801D4B" w:rsidRDefault="00DC2F62">
            <w:pPr>
              <w:jc w:val="center"/>
              <w:rPr>
                <w:rFonts w:ascii="仿宋_GB2312" w:eastAsia="仿宋_GB2312" w:hAnsi="宋体"/>
                <w:color w:val="000000"/>
                <w:sz w:val="28"/>
                <w:szCs w:val="28"/>
              </w:rPr>
            </w:pPr>
            <w:r>
              <w:rPr>
                <w:rFonts w:ascii="仿宋_GB2312" w:eastAsia="仿宋_GB2312" w:hAnsi="宋体" w:hint="eastAsia"/>
                <w:color w:val="000000"/>
                <w:sz w:val="28"/>
                <w:szCs w:val="28"/>
              </w:rPr>
              <w:t>材料科学与工程（先进金属材料）</w:t>
            </w:r>
          </w:p>
        </w:tc>
        <w:tc>
          <w:tcPr>
            <w:tcW w:w="2079" w:type="dxa"/>
            <w:vAlign w:val="center"/>
          </w:tcPr>
          <w:p w:rsidR="00801D4B" w:rsidRDefault="00DC2F62">
            <w:pPr>
              <w:spacing w:line="360" w:lineRule="auto"/>
              <w:jc w:val="center"/>
              <w:rPr>
                <w:rFonts w:ascii="仿宋_GB2312" w:eastAsia="仿宋_GB2312" w:hAnsi="宋体"/>
                <w:color w:val="000000"/>
                <w:sz w:val="28"/>
                <w:szCs w:val="28"/>
              </w:rPr>
            </w:pPr>
            <w:r>
              <w:rPr>
                <w:rFonts w:ascii="仿宋_GB2312" w:eastAsia="仿宋_GB2312" w:hAnsi="宋体" w:hint="eastAsia"/>
                <w:color w:val="000000"/>
                <w:sz w:val="28"/>
                <w:szCs w:val="28"/>
              </w:rPr>
              <w:t>30</w:t>
            </w:r>
            <w:r>
              <w:rPr>
                <w:rFonts w:ascii="仿宋_GB2312" w:eastAsia="仿宋_GB2312" w:hAnsi="宋体" w:hint="eastAsia"/>
                <w:color w:val="000000"/>
                <w:sz w:val="28"/>
                <w:szCs w:val="28"/>
              </w:rPr>
              <w:t>%</w:t>
            </w:r>
          </w:p>
        </w:tc>
      </w:tr>
      <w:tr w:rsidR="00801D4B">
        <w:trPr>
          <w:trHeight w:val="639"/>
          <w:jc w:val="center"/>
        </w:trPr>
        <w:tc>
          <w:tcPr>
            <w:tcW w:w="5540" w:type="dxa"/>
            <w:vAlign w:val="center"/>
          </w:tcPr>
          <w:p w:rsidR="00801D4B" w:rsidRDefault="00DC2F62">
            <w:pPr>
              <w:jc w:val="center"/>
              <w:rPr>
                <w:rFonts w:ascii="仿宋_GB2312" w:eastAsia="仿宋_GB2312" w:hAnsi="宋体"/>
                <w:color w:val="000000"/>
                <w:sz w:val="28"/>
                <w:szCs w:val="28"/>
              </w:rPr>
            </w:pPr>
            <w:r>
              <w:rPr>
                <w:rFonts w:ascii="仿宋_GB2312" w:eastAsia="仿宋_GB2312" w:hAnsi="宋体" w:hint="eastAsia"/>
                <w:color w:val="000000"/>
                <w:sz w:val="28"/>
                <w:szCs w:val="28"/>
              </w:rPr>
              <w:t>材料科学与工程</w:t>
            </w:r>
            <w:r>
              <w:rPr>
                <w:rFonts w:ascii="仿宋_GB2312" w:eastAsia="仿宋_GB2312" w:hAnsi="宋体" w:hint="eastAsia"/>
                <w:color w:val="000000"/>
                <w:sz w:val="28"/>
                <w:szCs w:val="28"/>
              </w:rPr>
              <w:t>（先进无机非金属材料）</w:t>
            </w:r>
          </w:p>
        </w:tc>
        <w:tc>
          <w:tcPr>
            <w:tcW w:w="2079" w:type="dxa"/>
            <w:vAlign w:val="center"/>
          </w:tcPr>
          <w:p w:rsidR="00801D4B" w:rsidRDefault="00DC2F62">
            <w:pPr>
              <w:spacing w:line="360" w:lineRule="auto"/>
              <w:jc w:val="center"/>
              <w:rPr>
                <w:rFonts w:ascii="仿宋_GB2312" w:eastAsia="仿宋_GB2312" w:hAnsi="宋体"/>
                <w:color w:val="000000"/>
                <w:sz w:val="28"/>
                <w:szCs w:val="28"/>
              </w:rPr>
            </w:pPr>
            <w:r>
              <w:rPr>
                <w:rFonts w:ascii="仿宋_GB2312" w:eastAsia="仿宋_GB2312" w:hAnsi="宋体" w:hint="eastAsia"/>
                <w:color w:val="000000"/>
                <w:sz w:val="28"/>
                <w:szCs w:val="28"/>
              </w:rPr>
              <w:t>25%</w:t>
            </w:r>
          </w:p>
        </w:tc>
      </w:tr>
      <w:tr w:rsidR="00801D4B">
        <w:trPr>
          <w:trHeight w:val="639"/>
          <w:jc w:val="center"/>
        </w:trPr>
        <w:tc>
          <w:tcPr>
            <w:tcW w:w="5540" w:type="dxa"/>
            <w:vAlign w:val="center"/>
          </w:tcPr>
          <w:p w:rsidR="00801D4B" w:rsidRDefault="00DC2F62">
            <w:pPr>
              <w:spacing w:line="360" w:lineRule="auto"/>
              <w:jc w:val="center"/>
              <w:rPr>
                <w:rFonts w:ascii="仿宋_GB2312" w:eastAsia="仿宋_GB2312" w:hAnsi="宋体"/>
                <w:color w:val="000000"/>
                <w:sz w:val="28"/>
                <w:szCs w:val="28"/>
              </w:rPr>
            </w:pPr>
            <w:r>
              <w:rPr>
                <w:rFonts w:ascii="仿宋_GB2312" w:eastAsia="仿宋_GB2312" w:hAnsi="宋体" w:hint="eastAsia"/>
                <w:color w:val="000000"/>
                <w:sz w:val="28"/>
                <w:szCs w:val="28"/>
              </w:rPr>
              <w:t>功能材料</w:t>
            </w:r>
          </w:p>
        </w:tc>
        <w:tc>
          <w:tcPr>
            <w:tcW w:w="2079" w:type="dxa"/>
            <w:vAlign w:val="center"/>
          </w:tcPr>
          <w:p w:rsidR="00801D4B" w:rsidRDefault="00DC2F62">
            <w:pPr>
              <w:spacing w:line="360" w:lineRule="auto"/>
              <w:jc w:val="center"/>
              <w:rPr>
                <w:rFonts w:ascii="仿宋_GB2312" w:eastAsia="仿宋_GB2312" w:hAnsi="宋体"/>
                <w:color w:val="000000"/>
                <w:sz w:val="28"/>
                <w:szCs w:val="28"/>
              </w:rPr>
            </w:pPr>
            <w:r>
              <w:rPr>
                <w:rFonts w:ascii="仿宋_GB2312" w:eastAsia="仿宋_GB2312" w:hAnsi="宋体" w:hint="eastAsia"/>
                <w:color w:val="000000"/>
                <w:sz w:val="28"/>
                <w:szCs w:val="28"/>
              </w:rPr>
              <w:t>15%</w:t>
            </w:r>
          </w:p>
        </w:tc>
      </w:tr>
      <w:tr w:rsidR="00801D4B">
        <w:trPr>
          <w:trHeight w:val="649"/>
          <w:jc w:val="center"/>
        </w:trPr>
        <w:tc>
          <w:tcPr>
            <w:tcW w:w="5540" w:type="dxa"/>
            <w:vAlign w:val="center"/>
          </w:tcPr>
          <w:p w:rsidR="00801D4B" w:rsidRDefault="00DC2F62">
            <w:pPr>
              <w:spacing w:line="360" w:lineRule="auto"/>
              <w:jc w:val="center"/>
              <w:rPr>
                <w:rFonts w:ascii="仿宋_GB2312" w:eastAsia="仿宋_GB2312" w:hAnsi="宋体"/>
                <w:color w:val="000000"/>
                <w:sz w:val="28"/>
                <w:szCs w:val="28"/>
              </w:rPr>
            </w:pPr>
            <w:r>
              <w:rPr>
                <w:rFonts w:ascii="仿宋_GB2312" w:eastAsia="仿宋_GB2312" w:hAnsi="宋体" w:hint="eastAsia"/>
                <w:color w:val="000000"/>
                <w:sz w:val="28"/>
                <w:szCs w:val="28"/>
              </w:rPr>
              <w:t>合计：</w:t>
            </w:r>
          </w:p>
        </w:tc>
        <w:tc>
          <w:tcPr>
            <w:tcW w:w="2079" w:type="dxa"/>
            <w:vAlign w:val="center"/>
          </w:tcPr>
          <w:p w:rsidR="00801D4B" w:rsidRDefault="00DC2F62">
            <w:pPr>
              <w:spacing w:line="360" w:lineRule="auto"/>
              <w:jc w:val="center"/>
              <w:rPr>
                <w:rFonts w:ascii="仿宋_GB2312" w:eastAsia="仿宋_GB2312" w:hAnsi="宋体"/>
                <w:color w:val="000000"/>
                <w:sz w:val="28"/>
                <w:szCs w:val="28"/>
              </w:rPr>
            </w:pPr>
            <w:r>
              <w:rPr>
                <w:rFonts w:ascii="仿宋_GB2312" w:eastAsia="仿宋_GB2312" w:hAnsi="宋体" w:hint="eastAsia"/>
                <w:color w:val="000000"/>
                <w:sz w:val="28"/>
                <w:szCs w:val="28"/>
              </w:rPr>
              <w:t>1</w:t>
            </w:r>
            <w:r>
              <w:rPr>
                <w:rFonts w:ascii="仿宋_GB2312" w:eastAsia="仿宋_GB2312" w:hAnsi="宋体"/>
                <w:color w:val="000000"/>
                <w:sz w:val="28"/>
                <w:szCs w:val="28"/>
              </w:rPr>
              <w:t>00</w:t>
            </w:r>
            <w:r>
              <w:rPr>
                <w:rFonts w:ascii="仿宋_GB2312" w:eastAsia="仿宋_GB2312" w:hAnsi="宋体" w:hint="eastAsia"/>
                <w:color w:val="000000"/>
                <w:sz w:val="28"/>
                <w:szCs w:val="28"/>
              </w:rPr>
              <w:t>%</w:t>
            </w:r>
          </w:p>
        </w:tc>
      </w:tr>
    </w:tbl>
    <w:p w:rsidR="00801D4B" w:rsidRDefault="00DC2F62">
      <w:pPr>
        <w:spacing w:line="360" w:lineRule="auto"/>
        <w:ind w:firstLineChars="202" w:firstLine="646"/>
        <w:rPr>
          <w:rFonts w:ascii="仿宋_GB2312" w:eastAsia="仿宋_GB2312" w:hAnsi="宋体"/>
          <w:sz w:val="32"/>
          <w:szCs w:val="32"/>
        </w:rPr>
      </w:pPr>
      <w:r>
        <w:rPr>
          <w:rFonts w:ascii="仿宋_GB2312" w:eastAsia="仿宋_GB2312" w:hAnsi="宋体" w:hint="eastAsia"/>
          <w:sz w:val="32"/>
          <w:szCs w:val="32"/>
        </w:rPr>
        <w:t>注：按照学生报名情况弹性调整。</w:t>
      </w:r>
    </w:p>
    <w:p w:rsidR="00801D4B" w:rsidRDefault="00DC2F62">
      <w:pPr>
        <w:spacing w:line="360" w:lineRule="auto"/>
        <w:ind w:firstLineChars="202" w:firstLine="649"/>
        <w:jc w:val="left"/>
        <w:rPr>
          <w:rFonts w:ascii="仿宋_GB2312" w:eastAsia="仿宋_GB2312" w:hAnsi="宋体"/>
          <w:b/>
          <w:sz w:val="32"/>
          <w:szCs w:val="32"/>
        </w:rPr>
      </w:pPr>
      <w:r>
        <w:rPr>
          <w:rFonts w:ascii="仿宋_GB2312" w:eastAsia="仿宋_GB2312" w:hAnsi="宋体" w:hint="eastAsia"/>
          <w:b/>
          <w:sz w:val="32"/>
          <w:szCs w:val="32"/>
        </w:rPr>
        <w:t>（二）主修专业确认遴选原则</w:t>
      </w:r>
    </w:p>
    <w:p w:rsidR="00801D4B" w:rsidRDefault="00DC2F62">
      <w:pPr>
        <w:pStyle w:val="a4"/>
        <w:adjustRightInd w:val="0"/>
        <w:snapToGrid w:val="0"/>
        <w:spacing w:line="56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大类在学校第一批次（第一学年第二学期前</w:t>
      </w:r>
      <w:r>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周）</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根据学生的专业志愿</w:t>
      </w:r>
      <w:r>
        <w:rPr>
          <w:rFonts w:ascii="仿宋_GB2312" w:eastAsia="仿宋_GB2312" w:hAnsi="仿宋_GB2312" w:cs="仿宋_GB2312" w:hint="eastAsia"/>
          <w:sz w:val="32"/>
          <w:szCs w:val="32"/>
        </w:rPr>
        <w:t>填报情况，组织主修</w:t>
      </w:r>
      <w:r>
        <w:rPr>
          <w:rFonts w:ascii="仿宋_GB2312" w:eastAsia="仿宋_GB2312" w:hAnsi="仿宋_GB2312" w:cs="仿宋_GB2312" w:hint="eastAsia"/>
          <w:sz w:val="32"/>
          <w:szCs w:val="32"/>
        </w:rPr>
        <w:t>专业确认工作。</w:t>
      </w:r>
    </w:p>
    <w:p w:rsidR="00801D4B" w:rsidRDefault="00DC2F62">
      <w:pPr>
        <w:spacing w:line="360" w:lineRule="auto"/>
        <w:ind w:firstLineChars="202" w:firstLine="649"/>
        <w:jc w:val="left"/>
        <w:rPr>
          <w:rFonts w:ascii="仿宋_GB2312" w:eastAsia="仿宋_GB2312" w:hAnsi="宋体"/>
          <w:b/>
          <w:sz w:val="32"/>
          <w:szCs w:val="32"/>
        </w:rPr>
      </w:pPr>
      <w:r>
        <w:rPr>
          <w:rFonts w:ascii="仿宋_GB2312" w:eastAsia="仿宋_GB2312" w:hAnsi="宋体" w:hint="eastAsia"/>
          <w:b/>
          <w:sz w:val="32"/>
          <w:szCs w:val="32"/>
        </w:rPr>
        <w:t>（三）主修专业确认工作时间安排</w:t>
      </w:r>
    </w:p>
    <w:p w:rsidR="00801D4B" w:rsidRDefault="00DC2F62">
      <w:pPr>
        <w:pStyle w:val="a4"/>
        <w:adjustRightInd w:val="0"/>
        <w:snapToGrid w:val="0"/>
        <w:spacing w:line="56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学院将在主修专业确认工作报名前向学生进行主修专业确认工作宣讲，说明工作程序、规则及专业确认时间安排，并为学生提供充分的专业咨询及引导。</w:t>
      </w:r>
    </w:p>
    <w:p w:rsidR="00801D4B" w:rsidRDefault="00DC2F62">
      <w:pPr>
        <w:pStyle w:val="a4"/>
        <w:adjustRightInd w:val="0"/>
        <w:snapToGrid w:val="0"/>
        <w:spacing w:line="56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2025</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日前，大</w:t>
      </w:r>
      <w:proofErr w:type="gramStart"/>
      <w:r>
        <w:rPr>
          <w:rFonts w:ascii="仿宋_GB2312" w:eastAsia="仿宋_GB2312" w:hAnsi="仿宋_GB2312" w:cs="仿宋_GB2312" w:hint="eastAsia"/>
          <w:sz w:val="32"/>
          <w:szCs w:val="32"/>
        </w:rPr>
        <w:t>一</w:t>
      </w:r>
      <w:proofErr w:type="gramEnd"/>
      <w:r>
        <w:rPr>
          <w:rFonts w:ascii="仿宋_GB2312" w:eastAsia="仿宋_GB2312" w:hAnsi="仿宋_GB2312" w:cs="仿宋_GB2312" w:hint="eastAsia"/>
          <w:sz w:val="32"/>
          <w:szCs w:val="32"/>
        </w:rPr>
        <w:t>新生</w:t>
      </w:r>
      <w:r>
        <w:rPr>
          <w:rFonts w:ascii="仿宋_GB2312" w:eastAsia="仿宋_GB2312" w:hAnsi="仿宋_GB2312" w:cs="仿宋_GB2312"/>
          <w:sz w:val="32"/>
          <w:szCs w:val="32"/>
        </w:rPr>
        <w:t>在学校教务</w:t>
      </w:r>
      <w:r>
        <w:rPr>
          <w:rFonts w:ascii="仿宋_GB2312" w:eastAsia="仿宋_GB2312" w:hAnsi="仿宋_GB2312" w:cs="仿宋_GB2312" w:hint="eastAsia"/>
          <w:sz w:val="32"/>
          <w:szCs w:val="32"/>
        </w:rPr>
        <w:t>管理</w:t>
      </w:r>
      <w:r>
        <w:rPr>
          <w:rFonts w:ascii="仿宋_GB2312" w:eastAsia="仿宋_GB2312" w:hAnsi="仿宋_GB2312" w:cs="仿宋_GB2312"/>
          <w:sz w:val="32"/>
          <w:szCs w:val="32"/>
        </w:rPr>
        <w:t>系统中</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http://classes.tju.edu.cn</w:t>
      </w:r>
      <w:r>
        <w:rPr>
          <w:rFonts w:ascii="仿宋_GB2312" w:eastAsia="仿宋_GB2312" w:hAnsi="仿宋_GB2312" w:cs="仿宋_GB2312" w:hint="eastAsia"/>
          <w:sz w:val="32"/>
          <w:szCs w:val="32"/>
        </w:rPr>
        <w:t>）</w:t>
      </w:r>
      <w:r>
        <w:rPr>
          <w:rFonts w:ascii="仿宋_GB2312" w:eastAsia="仿宋_GB2312" w:hAnsi="仿宋_GB2312" w:cs="仿宋_GB2312"/>
          <w:sz w:val="32"/>
          <w:szCs w:val="32"/>
        </w:rPr>
        <w:t>一次性提交对本大类所有专业方向排序的志愿申请。</w:t>
      </w:r>
      <w:r>
        <w:rPr>
          <w:rFonts w:ascii="仿宋_GB2312" w:eastAsia="仿宋_GB2312" w:hAnsi="仿宋_GB2312" w:cs="仿宋_GB2312" w:hint="eastAsia"/>
          <w:sz w:val="32"/>
          <w:szCs w:val="32"/>
        </w:rPr>
        <w:t>学生应根据自身的特点并参考各专业基本名额经过全面及慎重考虑后填报专业志愿，志愿填报截止后不能变更。</w:t>
      </w:r>
    </w:p>
    <w:p w:rsidR="00801D4B" w:rsidRDefault="00DC2F62">
      <w:pPr>
        <w:pStyle w:val="a4"/>
        <w:adjustRightInd w:val="0"/>
        <w:snapToGrid w:val="0"/>
        <w:spacing w:line="56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2025</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11</w:t>
      </w:r>
      <w:r>
        <w:rPr>
          <w:rFonts w:ascii="仿宋_GB2312" w:eastAsia="仿宋_GB2312" w:hAnsi="仿宋_GB2312" w:cs="仿宋_GB2312" w:hint="eastAsia"/>
          <w:sz w:val="32"/>
          <w:szCs w:val="32"/>
        </w:rPr>
        <w:t>日前</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学院开展主修专业确认工作，并将通过主修专业确认的学生名单予以公示，公示时间为</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个工作</w:t>
      </w:r>
      <w:r>
        <w:rPr>
          <w:rFonts w:ascii="仿宋_GB2312" w:eastAsia="仿宋_GB2312" w:hAnsi="仿宋_GB2312" w:cs="仿宋_GB2312" w:hint="eastAsia"/>
          <w:sz w:val="32"/>
          <w:szCs w:val="32"/>
        </w:rPr>
        <w:lastRenderedPageBreak/>
        <w:t>日</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14</w:t>
      </w:r>
      <w:r>
        <w:rPr>
          <w:rFonts w:ascii="仿宋_GB2312" w:eastAsia="仿宋_GB2312" w:hAnsi="仿宋_GB2312" w:cs="仿宋_GB2312" w:hint="eastAsia"/>
          <w:sz w:val="32"/>
          <w:szCs w:val="32"/>
        </w:rPr>
        <w:t>日</w:t>
      </w:r>
      <w:r>
        <w:rPr>
          <w:rFonts w:ascii="仿宋_GB2312" w:eastAsia="仿宋_GB2312" w:hAnsi="仿宋_GB2312" w:cs="仿宋_GB2312" w:hint="eastAsia"/>
          <w:sz w:val="32"/>
          <w:szCs w:val="32"/>
        </w:rPr>
        <w:t>-16</w:t>
      </w:r>
      <w:r>
        <w:rPr>
          <w:rFonts w:ascii="仿宋_GB2312" w:eastAsia="仿宋_GB2312" w:hAnsi="仿宋_GB2312" w:cs="仿宋_GB2312" w:hint="eastAsia"/>
          <w:sz w:val="32"/>
          <w:szCs w:val="32"/>
        </w:rPr>
        <w:t>日）。</w:t>
      </w:r>
    </w:p>
    <w:p w:rsidR="00801D4B" w:rsidRDefault="00DC2F62">
      <w:pPr>
        <w:pStyle w:val="a4"/>
        <w:adjustRightInd w:val="0"/>
        <w:snapToGrid w:val="0"/>
        <w:spacing w:line="56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4.2025</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18</w:t>
      </w:r>
      <w:r>
        <w:rPr>
          <w:rFonts w:ascii="仿宋_GB2312" w:eastAsia="仿宋_GB2312" w:hAnsi="仿宋_GB2312" w:cs="仿宋_GB2312" w:hint="eastAsia"/>
          <w:sz w:val="32"/>
          <w:szCs w:val="32"/>
        </w:rPr>
        <w:t>日前</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学院将</w:t>
      </w:r>
      <w:r>
        <w:rPr>
          <w:rFonts w:ascii="仿宋_GB2312" w:eastAsia="仿宋_GB2312" w:hAnsi="仿宋_GB2312" w:cs="仿宋_GB2312" w:hint="eastAsia"/>
          <w:sz w:val="32"/>
          <w:szCs w:val="32"/>
        </w:rPr>
        <w:t>主修</w:t>
      </w:r>
      <w:r>
        <w:rPr>
          <w:rFonts w:ascii="仿宋_GB2312" w:eastAsia="仿宋_GB2312" w:hAnsi="仿宋_GB2312" w:cs="仿宋_GB2312" w:hint="eastAsia"/>
          <w:sz w:val="32"/>
          <w:szCs w:val="32"/>
        </w:rPr>
        <w:t>专业</w:t>
      </w:r>
      <w:r>
        <w:rPr>
          <w:rFonts w:ascii="仿宋_GB2312" w:eastAsia="仿宋_GB2312" w:hAnsi="仿宋_GB2312" w:cs="仿宋_GB2312" w:hint="eastAsia"/>
          <w:sz w:val="32"/>
          <w:szCs w:val="32"/>
        </w:rPr>
        <w:t>确认</w:t>
      </w:r>
      <w:r>
        <w:rPr>
          <w:rFonts w:ascii="仿宋_GB2312" w:eastAsia="仿宋_GB2312" w:hAnsi="仿宋_GB2312" w:cs="仿宋_GB2312" w:hint="eastAsia"/>
          <w:sz w:val="32"/>
          <w:szCs w:val="32"/>
        </w:rPr>
        <w:t>的学生名单报送教务处，</w:t>
      </w:r>
      <w:r>
        <w:rPr>
          <w:rFonts w:ascii="仿宋_GB2312" w:eastAsia="仿宋_GB2312" w:hAnsi="仿宋_GB2312" w:cs="仿宋_GB2312"/>
          <w:sz w:val="32"/>
          <w:szCs w:val="32"/>
        </w:rPr>
        <w:t>教务处审核并报送学校批准后，在教务管理系统中做学籍异动。</w:t>
      </w:r>
    </w:p>
    <w:p w:rsidR="00801D4B" w:rsidRDefault="00DC2F62">
      <w:pPr>
        <w:pStyle w:val="a4"/>
        <w:adjustRightInd w:val="0"/>
        <w:snapToGrid w:val="0"/>
        <w:spacing w:line="56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注：具体时间节点以当时通知为准。</w:t>
      </w:r>
    </w:p>
    <w:p w:rsidR="00801D4B" w:rsidRDefault="00DC2F62" w:rsidP="00D50224">
      <w:pPr>
        <w:numPr>
          <w:ilvl w:val="0"/>
          <w:numId w:val="1"/>
        </w:numPr>
        <w:spacing w:beforeLines="50" w:afterLines="50" w:line="360" w:lineRule="auto"/>
        <w:ind w:firstLine="686"/>
        <w:jc w:val="left"/>
        <w:rPr>
          <w:rFonts w:ascii="仿宋_GB2312" w:eastAsia="仿宋_GB2312" w:hAnsi="宋体"/>
          <w:b/>
          <w:sz w:val="32"/>
          <w:szCs w:val="32"/>
        </w:rPr>
      </w:pPr>
      <w:r>
        <w:rPr>
          <w:rFonts w:ascii="仿宋_GB2312" w:eastAsia="仿宋_GB2312" w:hAnsi="宋体" w:hint="eastAsia"/>
          <w:b/>
          <w:sz w:val="32"/>
          <w:szCs w:val="32"/>
        </w:rPr>
        <w:t>相关原则要求</w:t>
      </w:r>
    </w:p>
    <w:p w:rsidR="00801D4B" w:rsidRDefault="00DC2F62">
      <w:pPr>
        <w:pStyle w:val="a4"/>
        <w:adjustRightInd w:val="0"/>
        <w:snapToGrid w:val="0"/>
        <w:spacing w:line="56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除实施细则中所做的特别规定外，相关遴选原则和条件经公布后不能修改。</w:t>
      </w:r>
    </w:p>
    <w:p w:rsidR="00801D4B" w:rsidRDefault="00DC2F62">
      <w:pPr>
        <w:pStyle w:val="a4"/>
        <w:adjustRightInd w:val="0"/>
        <w:snapToGrid w:val="0"/>
        <w:spacing w:line="56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本实施细则由主修</w:t>
      </w:r>
      <w:r>
        <w:rPr>
          <w:rFonts w:ascii="仿宋_GB2312" w:eastAsia="仿宋_GB2312" w:hAnsi="仿宋_GB2312" w:cs="仿宋_GB2312"/>
          <w:sz w:val="32"/>
          <w:szCs w:val="32"/>
        </w:rPr>
        <w:t>专业确认工作</w:t>
      </w:r>
      <w:r>
        <w:rPr>
          <w:rFonts w:ascii="仿宋_GB2312" w:eastAsia="仿宋_GB2312" w:hAnsi="仿宋_GB2312" w:cs="仿宋_GB2312" w:hint="eastAsia"/>
          <w:sz w:val="32"/>
          <w:szCs w:val="32"/>
        </w:rPr>
        <w:t>委员会负责解释。</w:t>
      </w:r>
    </w:p>
    <w:p w:rsidR="00801D4B" w:rsidRDefault="00801D4B">
      <w:pPr>
        <w:spacing w:line="360" w:lineRule="auto"/>
        <w:ind w:firstLineChars="200" w:firstLine="640"/>
        <w:jc w:val="left"/>
        <w:rPr>
          <w:rFonts w:ascii="仿宋_GB2312" w:eastAsia="仿宋_GB2312" w:hAnsi="宋体"/>
          <w:sz w:val="32"/>
          <w:szCs w:val="32"/>
        </w:rPr>
      </w:pPr>
      <w:bookmarkStart w:id="0" w:name="_GoBack"/>
      <w:bookmarkEnd w:id="0"/>
    </w:p>
    <w:p w:rsidR="00801D4B" w:rsidRDefault="00DC2F62">
      <w:pPr>
        <w:spacing w:line="360" w:lineRule="auto"/>
        <w:ind w:firstLineChars="1500" w:firstLine="4800"/>
        <w:jc w:val="right"/>
        <w:rPr>
          <w:rFonts w:ascii="仿宋_GB2312" w:eastAsia="仿宋_GB2312" w:hAnsi="宋体"/>
          <w:sz w:val="32"/>
          <w:szCs w:val="32"/>
        </w:rPr>
      </w:pPr>
      <w:r>
        <w:rPr>
          <w:rFonts w:ascii="仿宋_GB2312" w:eastAsia="仿宋_GB2312" w:hAnsi="宋体" w:hint="eastAsia"/>
          <w:sz w:val="32"/>
          <w:szCs w:val="32"/>
        </w:rPr>
        <w:t>材</w:t>
      </w:r>
      <w:r>
        <w:rPr>
          <w:rFonts w:ascii="仿宋_GB2312" w:eastAsia="仿宋_GB2312" w:hAnsi="仿宋_GB2312" w:cs="仿宋_GB2312" w:hint="eastAsia"/>
          <w:sz w:val="32"/>
          <w:szCs w:val="32"/>
        </w:rPr>
        <w:t>料</w:t>
      </w:r>
      <w:r>
        <w:rPr>
          <w:rFonts w:ascii="仿宋_GB2312" w:eastAsia="仿宋_GB2312" w:hAnsi="宋体" w:hint="eastAsia"/>
          <w:sz w:val="32"/>
          <w:szCs w:val="32"/>
        </w:rPr>
        <w:t>科学与工程学院</w:t>
      </w:r>
    </w:p>
    <w:p w:rsidR="00801D4B" w:rsidRDefault="00DC2F62">
      <w:pPr>
        <w:spacing w:line="360" w:lineRule="auto"/>
        <w:ind w:firstLineChars="1700" w:firstLine="5440"/>
        <w:jc w:val="right"/>
        <w:rPr>
          <w:rFonts w:ascii="仿宋_GB2312" w:eastAsia="仿宋_GB2312" w:hAnsi="宋体"/>
          <w:sz w:val="32"/>
          <w:szCs w:val="32"/>
        </w:rPr>
      </w:pPr>
      <w:r>
        <w:rPr>
          <w:rFonts w:ascii="仿宋_GB2312" w:eastAsia="仿宋_GB2312" w:hAnsi="宋体" w:hint="eastAsia"/>
          <w:sz w:val="32"/>
          <w:szCs w:val="32"/>
        </w:rPr>
        <w:t>2</w:t>
      </w:r>
      <w:r>
        <w:rPr>
          <w:rFonts w:ascii="仿宋_GB2312" w:eastAsia="仿宋_GB2312" w:hAnsi="宋体"/>
          <w:sz w:val="32"/>
          <w:szCs w:val="32"/>
        </w:rPr>
        <w:t>02</w:t>
      </w:r>
      <w:r>
        <w:rPr>
          <w:rFonts w:ascii="仿宋_GB2312" w:eastAsia="仿宋_GB2312" w:hAnsi="宋体" w:hint="eastAsia"/>
          <w:sz w:val="32"/>
          <w:szCs w:val="32"/>
        </w:rPr>
        <w:t>4</w:t>
      </w:r>
      <w:r>
        <w:rPr>
          <w:rFonts w:ascii="仿宋_GB2312" w:eastAsia="仿宋_GB2312" w:hAnsi="宋体"/>
          <w:sz w:val="32"/>
          <w:szCs w:val="32"/>
        </w:rPr>
        <w:t>.</w:t>
      </w:r>
      <w:r>
        <w:rPr>
          <w:rFonts w:ascii="仿宋_GB2312" w:eastAsia="仿宋_GB2312" w:hAnsi="宋体" w:hint="eastAsia"/>
          <w:sz w:val="32"/>
          <w:szCs w:val="32"/>
        </w:rPr>
        <w:t>8</w:t>
      </w:r>
      <w:r>
        <w:rPr>
          <w:rFonts w:ascii="仿宋_GB2312" w:eastAsia="仿宋_GB2312" w:hAnsi="宋体"/>
          <w:sz w:val="32"/>
          <w:szCs w:val="32"/>
        </w:rPr>
        <w:t>.</w:t>
      </w:r>
      <w:r w:rsidR="00D50224">
        <w:rPr>
          <w:rFonts w:ascii="仿宋_GB2312" w:eastAsia="仿宋_GB2312" w:hAnsi="宋体" w:hint="eastAsia"/>
          <w:sz w:val="32"/>
          <w:szCs w:val="32"/>
        </w:rPr>
        <w:t>28</w:t>
      </w:r>
    </w:p>
    <w:p w:rsidR="00801D4B" w:rsidRDefault="00801D4B">
      <w:pPr>
        <w:jc w:val="left"/>
        <w:rPr>
          <w:rFonts w:ascii="仿宋_GB2312" w:eastAsia="仿宋_GB2312" w:hAnsi="宋体"/>
          <w:sz w:val="32"/>
          <w:szCs w:val="32"/>
        </w:rPr>
      </w:pPr>
    </w:p>
    <w:sectPr w:rsidR="00801D4B" w:rsidSect="00801D4B">
      <w:pgSz w:w="11906" w:h="16838"/>
      <w:pgMar w:top="1660" w:right="1286" w:bottom="1738"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2F62" w:rsidRDefault="00DC2F62" w:rsidP="00D50224">
      <w:r>
        <w:separator/>
      </w:r>
    </w:p>
  </w:endnote>
  <w:endnote w:type="continuationSeparator" w:id="0">
    <w:p w:rsidR="00DC2F62" w:rsidRDefault="00DC2F62" w:rsidP="00D5022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2F62" w:rsidRDefault="00DC2F62" w:rsidP="00D50224">
      <w:r>
        <w:separator/>
      </w:r>
    </w:p>
  </w:footnote>
  <w:footnote w:type="continuationSeparator" w:id="0">
    <w:p w:rsidR="00DC2F62" w:rsidRDefault="00DC2F62" w:rsidP="00D5022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japaneseCounting"/>
      <w:lvlText w:val="（%1）"/>
      <w:lvlJc w:val="left"/>
      <w:pPr>
        <w:ind w:left="1723" w:hanging="1080"/>
      </w:pPr>
      <w:rPr>
        <w:rFonts w:hint="default"/>
      </w:rPr>
    </w:lvl>
    <w:lvl w:ilvl="1">
      <w:start w:val="1"/>
      <w:numFmt w:val="lowerLetter"/>
      <w:lvlText w:val="%2)"/>
      <w:lvlJc w:val="left"/>
      <w:pPr>
        <w:ind w:left="1483" w:hanging="420"/>
      </w:pPr>
    </w:lvl>
    <w:lvl w:ilvl="2">
      <w:start w:val="1"/>
      <w:numFmt w:val="lowerRoman"/>
      <w:lvlText w:val="%3."/>
      <w:lvlJc w:val="right"/>
      <w:pPr>
        <w:ind w:left="1903" w:hanging="420"/>
      </w:pPr>
    </w:lvl>
    <w:lvl w:ilvl="3">
      <w:start w:val="1"/>
      <w:numFmt w:val="decimal"/>
      <w:lvlText w:val="%4."/>
      <w:lvlJc w:val="left"/>
      <w:pPr>
        <w:ind w:left="2323" w:hanging="420"/>
      </w:pPr>
    </w:lvl>
    <w:lvl w:ilvl="4">
      <w:start w:val="1"/>
      <w:numFmt w:val="lowerLetter"/>
      <w:lvlText w:val="%5)"/>
      <w:lvlJc w:val="left"/>
      <w:pPr>
        <w:ind w:left="2743" w:hanging="420"/>
      </w:pPr>
    </w:lvl>
    <w:lvl w:ilvl="5">
      <w:start w:val="1"/>
      <w:numFmt w:val="lowerRoman"/>
      <w:lvlText w:val="%6."/>
      <w:lvlJc w:val="right"/>
      <w:pPr>
        <w:ind w:left="3163" w:hanging="420"/>
      </w:pPr>
    </w:lvl>
    <w:lvl w:ilvl="6">
      <w:start w:val="1"/>
      <w:numFmt w:val="decimal"/>
      <w:lvlText w:val="%7."/>
      <w:lvlJc w:val="left"/>
      <w:pPr>
        <w:ind w:left="3583" w:hanging="420"/>
      </w:pPr>
    </w:lvl>
    <w:lvl w:ilvl="7">
      <w:start w:val="1"/>
      <w:numFmt w:val="lowerLetter"/>
      <w:lvlText w:val="%8)"/>
      <w:lvlJc w:val="left"/>
      <w:pPr>
        <w:ind w:left="4003" w:hanging="420"/>
      </w:pPr>
    </w:lvl>
    <w:lvl w:ilvl="8">
      <w:start w:val="1"/>
      <w:numFmt w:val="lowerRoman"/>
      <w:lvlText w:val="%9."/>
      <w:lvlJc w:val="right"/>
      <w:pPr>
        <w:ind w:left="4423" w:hanging="420"/>
      </w:pPr>
    </w:lvl>
  </w:abstractNum>
  <w:abstractNum w:abstractNumId="1">
    <w:nsid w:val="0053208E"/>
    <w:multiLevelType w:val="singleLevel"/>
    <w:tmpl w:val="0053208E"/>
    <w:lvl w:ilvl="0">
      <w:start w:val="1"/>
      <w:numFmt w:val="chineseCounting"/>
      <w:suff w:val="nothing"/>
      <w:lvlText w:val="%1、"/>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NTRkMmI3Y2ZhYmE5MGM3NjY1MWNiMTQwOGY4ZjZhNDcifQ=="/>
  </w:docVars>
  <w:rsids>
    <w:rsidRoot w:val="002C36E6"/>
    <w:rsid w:val="00267969"/>
    <w:rsid w:val="002C36E6"/>
    <w:rsid w:val="00314D22"/>
    <w:rsid w:val="0039653A"/>
    <w:rsid w:val="0076712E"/>
    <w:rsid w:val="00770710"/>
    <w:rsid w:val="00801D4B"/>
    <w:rsid w:val="00855F1E"/>
    <w:rsid w:val="008B577A"/>
    <w:rsid w:val="00A710D8"/>
    <w:rsid w:val="00B82029"/>
    <w:rsid w:val="00D50224"/>
    <w:rsid w:val="00DC2F62"/>
    <w:rsid w:val="00E84CB9"/>
    <w:rsid w:val="00F26EA4"/>
    <w:rsid w:val="00F47313"/>
    <w:rsid w:val="089972C0"/>
    <w:rsid w:val="11BC4471"/>
    <w:rsid w:val="179C787F"/>
    <w:rsid w:val="19FD3684"/>
    <w:rsid w:val="1F63408D"/>
    <w:rsid w:val="1FD11804"/>
    <w:rsid w:val="282006E4"/>
    <w:rsid w:val="3DAF0925"/>
    <w:rsid w:val="5384018C"/>
    <w:rsid w:val="5AF6561B"/>
    <w:rsid w:val="66E87574"/>
    <w:rsid w:val="6C5C7233"/>
    <w:rsid w:val="6D91766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qFormat="1"/>
    <w:lsdException w:name="header" w:semiHidden="0" w:uiPriority="0" w:unhideWhenUsed="0" w:qFormat="1"/>
    <w:lsdException w:name="footer" w:semiHidden="0" w:uiPriority="0" w:unhideWhenUsed="0" w:qFormat="1"/>
    <w:lsdException w:name="caption" w:uiPriority="35" w:qFormat="1"/>
    <w:lsdException w:name="annotation reference" w:semiHidden="0" w:uiPriority="0" w:unhideWhenUsed="0"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semiHidden="0" w:uiPriority="0" w:unhideWhenUsed="0" w:qFormat="1"/>
    <w:lsdException w:name="Balloon Text" w:semiHidden="0" w:uiPriority="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1D4B"/>
    <w:pPr>
      <w:widowControl w:val="0"/>
      <w:jc w:val="both"/>
    </w:pPr>
    <w:rPr>
      <w:rFonts w:cs="宋体"/>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rsid w:val="00801D4B"/>
    <w:pPr>
      <w:jc w:val="left"/>
    </w:pPr>
  </w:style>
  <w:style w:type="paragraph" w:styleId="a4">
    <w:name w:val="Body Text"/>
    <w:basedOn w:val="a"/>
    <w:link w:val="Char0"/>
    <w:qFormat/>
    <w:rsid w:val="00801D4B"/>
    <w:rPr>
      <w:rFonts w:ascii="楷体_GB2312" w:eastAsia="楷体_GB2312"/>
      <w:sz w:val="30"/>
      <w:szCs w:val="20"/>
    </w:rPr>
  </w:style>
  <w:style w:type="paragraph" w:styleId="a5">
    <w:name w:val="Balloon Text"/>
    <w:basedOn w:val="a"/>
    <w:link w:val="Char1"/>
    <w:qFormat/>
    <w:rsid w:val="00801D4B"/>
    <w:rPr>
      <w:sz w:val="18"/>
      <w:szCs w:val="18"/>
    </w:rPr>
  </w:style>
  <w:style w:type="paragraph" w:styleId="a6">
    <w:name w:val="footer"/>
    <w:basedOn w:val="a"/>
    <w:link w:val="Char2"/>
    <w:qFormat/>
    <w:rsid w:val="00801D4B"/>
    <w:pPr>
      <w:tabs>
        <w:tab w:val="center" w:pos="4153"/>
        <w:tab w:val="right" w:pos="8306"/>
      </w:tabs>
      <w:snapToGrid w:val="0"/>
      <w:jc w:val="left"/>
    </w:pPr>
    <w:rPr>
      <w:sz w:val="18"/>
      <w:szCs w:val="18"/>
    </w:rPr>
  </w:style>
  <w:style w:type="paragraph" w:styleId="a7">
    <w:name w:val="header"/>
    <w:basedOn w:val="a"/>
    <w:link w:val="Char3"/>
    <w:qFormat/>
    <w:rsid w:val="00801D4B"/>
    <w:pPr>
      <w:pBdr>
        <w:bottom w:val="single" w:sz="6" w:space="1" w:color="auto"/>
      </w:pBdr>
      <w:tabs>
        <w:tab w:val="center" w:pos="4153"/>
        <w:tab w:val="right" w:pos="8306"/>
      </w:tabs>
      <w:snapToGrid w:val="0"/>
      <w:jc w:val="center"/>
    </w:pPr>
    <w:rPr>
      <w:sz w:val="18"/>
      <w:szCs w:val="18"/>
    </w:rPr>
  </w:style>
  <w:style w:type="paragraph" w:styleId="a8">
    <w:name w:val="annotation subject"/>
    <w:basedOn w:val="a3"/>
    <w:next w:val="a3"/>
    <w:link w:val="Char4"/>
    <w:qFormat/>
    <w:rsid w:val="00801D4B"/>
    <w:rPr>
      <w:b/>
      <w:bCs/>
    </w:rPr>
  </w:style>
  <w:style w:type="character" w:styleId="a9">
    <w:name w:val="annotation reference"/>
    <w:basedOn w:val="a0"/>
    <w:qFormat/>
    <w:rsid w:val="00801D4B"/>
    <w:rPr>
      <w:sz w:val="21"/>
      <w:szCs w:val="21"/>
    </w:rPr>
  </w:style>
  <w:style w:type="character" w:customStyle="1" w:styleId="Char1">
    <w:name w:val="批注框文本 Char"/>
    <w:basedOn w:val="a0"/>
    <w:link w:val="a5"/>
    <w:qFormat/>
    <w:rsid w:val="00801D4B"/>
    <w:rPr>
      <w:kern w:val="2"/>
      <w:sz w:val="18"/>
      <w:szCs w:val="18"/>
    </w:rPr>
  </w:style>
  <w:style w:type="character" w:customStyle="1" w:styleId="Char3">
    <w:name w:val="页眉 Char"/>
    <w:basedOn w:val="a0"/>
    <w:link w:val="a7"/>
    <w:qFormat/>
    <w:rsid w:val="00801D4B"/>
    <w:rPr>
      <w:kern w:val="2"/>
      <w:sz w:val="18"/>
      <w:szCs w:val="18"/>
    </w:rPr>
  </w:style>
  <w:style w:type="character" w:customStyle="1" w:styleId="Char2">
    <w:name w:val="页脚 Char"/>
    <w:basedOn w:val="a0"/>
    <w:link w:val="a6"/>
    <w:qFormat/>
    <w:rsid w:val="00801D4B"/>
    <w:rPr>
      <w:kern w:val="2"/>
      <w:sz w:val="18"/>
      <w:szCs w:val="18"/>
    </w:rPr>
  </w:style>
  <w:style w:type="character" w:customStyle="1" w:styleId="Char0">
    <w:name w:val="正文文本 Char"/>
    <w:link w:val="a4"/>
    <w:qFormat/>
    <w:rsid w:val="00801D4B"/>
    <w:rPr>
      <w:rFonts w:ascii="楷体_GB2312" w:eastAsia="楷体_GB2312"/>
      <w:kern w:val="2"/>
      <w:sz w:val="30"/>
    </w:rPr>
  </w:style>
  <w:style w:type="character" w:customStyle="1" w:styleId="Char10">
    <w:name w:val="正文文本 Char1"/>
    <w:basedOn w:val="a0"/>
    <w:qFormat/>
    <w:rsid w:val="00801D4B"/>
    <w:rPr>
      <w:kern w:val="2"/>
      <w:sz w:val="21"/>
      <w:szCs w:val="24"/>
    </w:rPr>
  </w:style>
  <w:style w:type="paragraph" w:customStyle="1" w:styleId="msolistparagraph0">
    <w:name w:val="msolistparagraph"/>
    <w:basedOn w:val="a"/>
    <w:qFormat/>
    <w:rsid w:val="00801D4B"/>
    <w:pPr>
      <w:ind w:firstLineChars="200" w:firstLine="420"/>
    </w:pPr>
    <w:rPr>
      <w:rFonts w:ascii="Times New Roman" w:hAnsi="Times New Roman" w:cs="Times New Roman"/>
      <w:szCs w:val="20"/>
    </w:rPr>
  </w:style>
  <w:style w:type="paragraph" w:styleId="aa">
    <w:name w:val="List Paragraph"/>
    <w:basedOn w:val="a"/>
    <w:uiPriority w:val="99"/>
    <w:qFormat/>
    <w:rsid w:val="00801D4B"/>
    <w:pPr>
      <w:ind w:firstLineChars="200" w:firstLine="420"/>
    </w:pPr>
  </w:style>
  <w:style w:type="character" w:customStyle="1" w:styleId="Char">
    <w:name w:val="批注文字 Char"/>
    <w:basedOn w:val="a0"/>
    <w:link w:val="a3"/>
    <w:qFormat/>
    <w:rsid w:val="00801D4B"/>
    <w:rPr>
      <w:kern w:val="2"/>
      <w:sz w:val="21"/>
      <w:szCs w:val="24"/>
    </w:rPr>
  </w:style>
  <w:style w:type="character" w:customStyle="1" w:styleId="Char4">
    <w:name w:val="批注主题 Char"/>
    <w:basedOn w:val="Char"/>
    <w:link w:val="a8"/>
    <w:qFormat/>
    <w:rsid w:val="00801D4B"/>
    <w:rPr>
      <w:b/>
      <w:bCs/>
      <w:kern w:val="2"/>
      <w:sz w:val="21"/>
      <w:szCs w:val="24"/>
    </w:rPr>
  </w:style>
  <w:style w:type="paragraph" w:customStyle="1" w:styleId="1">
    <w:name w:val="修订1"/>
    <w:hidden/>
    <w:uiPriority w:val="99"/>
    <w:unhideWhenUsed/>
    <w:qFormat/>
    <w:rsid w:val="00801D4B"/>
    <w:rPr>
      <w:rFonts w:cs="宋体"/>
      <w:kern w:val="2"/>
      <w:sz w:val="21"/>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B74461-F5A5-4BE9-ABB7-AA5FE4D52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Pages>
  <Words>155</Words>
  <Characters>887</Characters>
  <Application>Microsoft Office Word</Application>
  <DocSecurity>0</DocSecurity>
  <Lines>7</Lines>
  <Paragraphs>2</Paragraphs>
  <ScaleCrop>false</ScaleCrop>
  <Company>MS</Company>
  <LinksUpToDate>false</LinksUpToDate>
  <CharactersWithSpaces>1040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竹子</dc:creator>
  <cp:lastModifiedBy>aa</cp:lastModifiedBy>
  <cp:revision>17</cp:revision>
  <cp:lastPrinted>2024-08-26T02:31:00Z</cp:lastPrinted>
  <dcterms:created xsi:type="dcterms:W3CDTF">2020-08-05T12:38:00Z</dcterms:created>
  <dcterms:modified xsi:type="dcterms:W3CDTF">2024-08-29T08:13:00Z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DE65C433DEAC4C73961E21D068BFF365_13</vt:lpwstr>
  </property>
</Properties>
</file>