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D5D23">
      <w:pPr>
        <w:spacing w:after="160"/>
        <w:jc w:val="center"/>
        <w:rPr>
          <w:rFonts w:ascii="黑体" w:hAnsi="黑体" w:eastAsia="黑体"/>
          <w:sz w:val="32"/>
          <w:szCs w:val="32"/>
        </w:rPr>
      </w:pPr>
      <w:r>
        <w:rPr>
          <w:rFonts w:ascii="黑体" w:hAnsi="黑体" w:eastAsia="黑体"/>
          <w:sz w:val="32"/>
          <w:szCs w:val="32"/>
        </w:rPr>
        <w:t>建筑学院</w:t>
      </w:r>
      <w:r>
        <w:rPr>
          <w:rFonts w:hint="eastAsia" w:ascii="黑体" w:hAnsi="黑体" w:eastAsia="黑体"/>
          <w:sz w:val="32"/>
          <w:szCs w:val="32"/>
          <w:lang w:val="en-US" w:eastAsia="zh-CN"/>
        </w:rPr>
        <w:t>2024</w:t>
      </w:r>
      <w:r>
        <w:rPr>
          <w:rFonts w:ascii="黑体" w:hAnsi="黑体" w:eastAsia="黑体"/>
          <w:sz w:val="32"/>
          <w:szCs w:val="32"/>
        </w:rPr>
        <w:t>级本科生主修专业确认实施细则</w:t>
      </w:r>
    </w:p>
    <w:p w14:paraId="760FB181">
      <w:pPr>
        <w:spacing w:after="160" w:line="300" w:lineRule="auto"/>
        <w:ind w:firstLine="560"/>
        <w:rPr>
          <w:rFonts w:ascii="仿宋" w:hAnsi="仿宋" w:eastAsia="仿宋"/>
          <w:sz w:val="28"/>
          <w:szCs w:val="28"/>
        </w:rPr>
      </w:pPr>
    </w:p>
    <w:p w14:paraId="15FFC533">
      <w:pPr>
        <w:spacing w:after="160" w:line="300" w:lineRule="auto"/>
        <w:ind w:firstLine="560"/>
        <w:rPr>
          <w:rFonts w:ascii="仿宋" w:hAnsi="仿宋" w:eastAsia="仿宋"/>
          <w:sz w:val="28"/>
          <w:szCs w:val="28"/>
        </w:rPr>
      </w:pPr>
      <w:r>
        <w:rPr>
          <w:rFonts w:ascii="仿宋" w:hAnsi="仿宋" w:eastAsia="仿宋"/>
          <w:sz w:val="28"/>
          <w:szCs w:val="28"/>
        </w:rPr>
        <w:t>为全面落实《天津大学一流本科教育2030行动计划》有关要求，坚持立德树人、坚持通专融合、坚持贯通培养，贯彻以学生发展为中心的教育理念，提高人才培养质量为目标。建筑学院按照《天津大学本科生主修专业确认及转专业实施办法》的文件要求，结合学院实际教学情况，制定《建筑学院</w:t>
      </w:r>
      <w:r>
        <w:rPr>
          <w:rFonts w:hint="eastAsia" w:ascii="仿宋" w:hAnsi="仿宋" w:eastAsia="仿宋"/>
          <w:sz w:val="28"/>
          <w:szCs w:val="28"/>
          <w:lang w:val="en-US" w:eastAsia="zh-CN"/>
        </w:rPr>
        <w:t>2024</w:t>
      </w:r>
      <w:r>
        <w:rPr>
          <w:rFonts w:ascii="仿宋" w:hAnsi="仿宋" w:eastAsia="仿宋"/>
          <w:sz w:val="28"/>
          <w:szCs w:val="28"/>
        </w:rPr>
        <w:t>级本科生主修专业确认实施细则》。</w:t>
      </w:r>
    </w:p>
    <w:p w14:paraId="3AACF1E0">
      <w:pPr>
        <w:spacing w:after="160" w:line="300" w:lineRule="auto"/>
        <w:rPr>
          <w:rFonts w:ascii="仿宋" w:hAnsi="仿宋" w:eastAsia="仿宋"/>
          <w:b/>
          <w:sz w:val="28"/>
          <w:szCs w:val="28"/>
        </w:rPr>
      </w:pPr>
      <w:r>
        <w:rPr>
          <w:rFonts w:ascii="仿宋" w:hAnsi="仿宋" w:eastAsia="仿宋"/>
          <w:b/>
          <w:sz w:val="28"/>
          <w:szCs w:val="28"/>
        </w:rPr>
        <w:t>一、基本原则</w:t>
      </w:r>
    </w:p>
    <w:p w14:paraId="739C56F9">
      <w:pPr>
        <w:spacing w:after="160" w:line="300" w:lineRule="auto"/>
        <w:ind w:firstLine="560"/>
        <w:rPr>
          <w:rFonts w:ascii="仿宋" w:hAnsi="仿宋" w:eastAsia="仿宋"/>
          <w:sz w:val="28"/>
          <w:szCs w:val="28"/>
        </w:rPr>
      </w:pPr>
      <w:r>
        <w:rPr>
          <w:rFonts w:ascii="仿宋" w:hAnsi="仿宋" w:eastAsia="仿宋"/>
          <w:sz w:val="28"/>
          <w:szCs w:val="28"/>
        </w:rPr>
        <w:t>（一）以学生发展为中心，坚持公开、公平、公正的原则，充分发挥学院（部）主体作用。</w:t>
      </w:r>
    </w:p>
    <w:p w14:paraId="703B151E">
      <w:pPr>
        <w:spacing w:after="160" w:line="300" w:lineRule="auto"/>
        <w:ind w:firstLine="560"/>
        <w:rPr>
          <w:rFonts w:ascii="仿宋" w:hAnsi="仿宋" w:eastAsia="仿宋"/>
          <w:sz w:val="28"/>
          <w:szCs w:val="28"/>
        </w:rPr>
      </w:pPr>
      <w:r>
        <w:rPr>
          <w:rFonts w:ascii="仿宋" w:hAnsi="仿宋" w:eastAsia="仿宋"/>
          <w:sz w:val="28"/>
          <w:szCs w:val="28"/>
        </w:rPr>
        <w:t>（二）主修专业确认是指按大类招生的学生入学后须选择某一专业作为自己的主修专业。入学时按专业招生的学生不在主修专业确认范围。主修专业确认的原则是在所属招生大类内设置的各专业里选择并确认主修专业。</w:t>
      </w:r>
    </w:p>
    <w:p w14:paraId="79820043">
      <w:pPr>
        <w:spacing w:after="160" w:line="300" w:lineRule="auto"/>
        <w:rPr>
          <w:rFonts w:ascii="仿宋" w:hAnsi="仿宋" w:eastAsia="仿宋"/>
          <w:b/>
          <w:sz w:val="28"/>
          <w:szCs w:val="28"/>
        </w:rPr>
      </w:pPr>
      <w:r>
        <w:rPr>
          <w:rFonts w:ascii="仿宋" w:hAnsi="仿宋" w:eastAsia="仿宋"/>
          <w:b/>
          <w:sz w:val="28"/>
          <w:szCs w:val="28"/>
        </w:rPr>
        <w:t>二、组织与领导</w:t>
      </w:r>
    </w:p>
    <w:p w14:paraId="577571CD">
      <w:pPr>
        <w:spacing w:after="160" w:line="300" w:lineRule="auto"/>
        <w:ind w:firstLine="560"/>
        <w:rPr>
          <w:rFonts w:ascii="仿宋" w:hAnsi="仿宋" w:eastAsia="仿宋"/>
          <w:sz w:val="28"/>
          <w:szCs w:val="28"/>
        </w:rPr>
      </w:pPr>
      <w:r>
        <w:rPr>
          <w:rFonts w:ascii="仿宋" w:hAnsi="仿宋" w:eastAsia="仿宋"/>
          <w:sz w:val="28"/>
          <w:szCs w:val="28"/>
        </w:rPr>
        <w:t>学院成立本科生主修专业确认工作委员会，全面统筹安排主修专业确认工作。系主任负责本专业宣传工作，辅导员做好学生指导工作，本科教务老师负责主修专业确认具体操作，名单如下：</w:t>
      </w:r>
    </w:p>
    <w:p w14:paraId="5C09551C">
      <w:pPr>
        <w:spacing w:after="160" w:line="300" w:lineRule="auto"/>
        <w:jc w:val="left"/>
        <w:rPr>
          <w:rFonts w:hint="default" w:ascii="仿宋" w:hAnsi="仿宋" w:eastAsia="仿宋"/>
          <w:sz w:val="28"/>
          <w:szCs w:val="28"/>
          <w:lang w:val="en-US" w:eastAsia="zh-CN"/>
        </w:rPr>
      </w:pPr>
      <w:r>
        <w:rPr>
          <w:rFonts w:ascii="仿宋" w:hAnsi="仿宋" w:eastAsia="仿宋"/>
          <w:sz w:val="28"/>
          <w:szCs w:val="28"/>
        </w:rPr>
        <w:t>组长：</w:t>
      </w:r>
      <w:r>
        <w:rPr>
          <w:rFonts w:hint="eastAsia" w:ascii="仿宋" w:hAnsi="仿宋" w:eastAsia="仿宋"/>
          <w:sz w:val="28"/>
          <w:szCs w:val="28"/>
          <w:lang w:val="en-US" w:eastAsia="zh-CN"/>
        </w:rPr>
        <w:t>张春彦</w:t>
      </w:r>
    </w:p>
    <w:p w14:paraId="5E863644">
      <w:pPr>
        <w:spacing w:after="160" w:line="300" w:lineRule="auto"/>
        <w:jc w:val="left"/>
        <w:rPr>
          <w:rFonts w:ascii="仿宋" w:hAnsi="仿宋" w:eastAsia="仿宋"/>
          <w:sz w:val="28"/>
          <w:szCs w:val="28"/>
        </w:rPr>
      </w:pPr>
      <w:r>
        <w:rPr>
          <w:rFonts w:ascii="仿宋" w:hAnsi="仿宋" w:eastAsia="仿宋"/>
          <w:sz w:val="28"/>
          <w:szCs w:val="28"/>
        </w:rPr>
        <w:t>副组长：</w:t>
      </w:r>
      <w:r>
        <w:rPr>
          <w:rFonts w:hint="eastAsia" w:ascii="仿宋" w:hAnsi="仿宋" w:eastAsia="仿宋"/>
          <w:sz w:val="28"/>
          <w:szCs w:val="28"/>
        </w:rPr>
        <w:t>张昕楠</w:t>
      </w:r>
      <w:r>
        <w:rPr>
          <w:rFonts w:ascii="仿宋" w:hAnsi="仿宋" w:eastAsia="仿宋"/>
          <w:sz w:val="28"/>
          <w:szCs w:val="28"/>
        </w:rPr>
        <w:t>、刘彤彤</w:t>
      </w:r>
    </w:p>
    <w:p w14:paraId="0A6B4086">
      <w:pPr>
        <w:spacing w:after="160" w:line="300" w:lineRule="auto"/>
        <w:jc w:val="left"/>
        <w:rPr>
          <w:rFonts w:ascii="仿宋" w:hAnsi="仿宋" w:eastAsia="仿宋"/>
          <w:sz w:val="28"/>
          <w:szCs w:val="28"/>
        </w:rPr>
      </w:pPr>
      <w:r>
        <w:rPr>
          <w:rFonts w:ascii="仿宋" w:hAnsi="仿宋" w:eastAsia="仿宋"/>
          <w:sz w:val="28"/>
          <w:szCs w:val="28"/>
        </w:rPr>
        <w:t>委员：</w:t>
      </w:r>
      <w:r>
        <w:rPr>
          <w:rFonts w:hint="eastAsia" w:ascii="仿宋" w:hAnsi="仿宋" w:eastAsia="仿宋"/>
          <w:sz w:val="28"/>
          <w:szCs w:val="28"/>
        </w:rPr>
        <w:t>汪丽君</w:t>
      </w:r>
      <w:r>
        <w:rPr>
          <w:rFonts w:ascii="仿宋" w:hAnsi="仿宋" w:eastAsia="仿宋"/>
          <w:sz w:val="28"/>
          <w:szCs w:val="28"/>
        </w:rPr>
        <w:t>、</w:t>
      </w:r>
      <w:r>
        <w:rPr>
          <w:rFonts w:hint="eastAsia" w:ascii="仿宋" w:hAnsi="仿宋" w:eastAsia="仿宋"/>
          <w:sz w:val="28"/>
          <w:szCs w:val="28"/>
          <w:lang w:val="en-US" w:eastAsia="zh-CN"/>
        </w:rPr>
        <w:t>辛善超</w:t>
      </w:r>
      <w:r>
        <w:rPr>
          <w:rFonts w:ascii="仿宋" w:hAnsi="仿宋" w:eastAsia="仿宋"/>
          <w:sz w:val="28"/>
          <w:szCs w:val="28"/>
        </w:rPr>
        <w:t>、</w:t>
      </w:r>
      <w:r>
        <w:rPr>
          <w:rFonts w:hint="eastAsia" w:ascii="仿宋" w:hAnsi="仿宋" w:eastAsia="仿宋"/>
          <w:sz w:val="28"/>
          <w:szCs w:val="28"/>
        </w:rPr>
        <w:t>许熙巍</w:t>
      </w:r>
      <w:r>
        <w:rPr>
          <w:rFonts w:ascii="仿宋" w:hAnsi="仿宋" w:eastAsia="仿宋"/>
          <w:sz w:val="28"/>
          <w:szCs w:val="28"/>
        </w:rPr>
        <w:t>、</w:t>
      </w:r>
      <w:r>
        <w:rPr>
          <w:rFonts w:hint="eastAsia" w:ascii="仿宋" w:hAnsi="仿宋" w:eastAsia="仿宋"/>
          <w:sz w:val="28"/>
          <w:szCs w:val="28"/>
          <w:lang w:val="en-US" w:eastAsia="zh-CN"/>
        </w:rPr>
        <w:t>田健</w:t>
      </w:r>
      <w:r>
        <w:rPr>
          <w:rFonts w:ascii="仿宋" w:hAnsi="仿宋" w:eastAsia="仿宋"/>
          <w:sz w:val="28"/>
          <w:szCs w:val="28"/>
        </w:rPr>
        <w:t>、</w:t>
      </w:r>
      <w:r>
        <w:rPr>
          <w:rFonts w:hint="eastAsia" w:ascii="仿宋" w:hAnsi="仿宋" w:eastAsia="仿宋"/>
          <w:sz w:val="28"/>
          <w:szCs w:val="28"/>
        </w:rPr>
        <w:t>朱玲</w:t>
      </w:r>
      <w:r>
        <w:rPr>
          <w:rFonts w:ascii="仿宋" w:hAnsi="仿宋" w:eastAsia="仿宋"/>
          <w:sz w:val="28"/>
          <w:szCs w:val="28"/>
        </w:rPr>
        <w:t>、胡一可</w:t>
      </w:r>
    </w:p>
    <w:p w14:paraId="6025E9FB">
      <w:pPr>
        <w:spacing w:after="160" w:line="300" w:lineRule="auto"/>
        <w:jc w:val="left"/>
        <w:rPr>
          <w:rFonts w:ascii="仿宋" w:hAnsi="仿宋" w:eastAsia="仿宋"/>
          <w:sz w:val="28"/>
          <w:szCs w:val="28"/>
        </w:rPr>
      </w:pPr>
      <w:r>
        <w:rPr>
          <w:rFonts w:ascii="仿宋" w:hAnsi="仿宋" w:eastAsia="仿宋"/>
          <w:sz w:val="28"/>
          <w:szCs w:val="28"/>
        </w:rPr>
        <w:t>辅导员：</w:t>
      </w:r>
      <w:r>
        <w:rPr>
          <w:rFonts w:hint="eastAsia" w:ascii="仿宋" w:hAnsi="仿宋" w:eastAsia="仿宋"/>
          <w:sz w:val="28"/>
          <w:szCs w:val="28"/>
        </w:rPr>
        <w:t>赵乾琨</w:t>
      </w:r>
      <w:r>
        <w:rPr>
          <w:rFonts w:ascii="仿宋" w:hAnsi="仿宋" w:eastAsia="仿宋"/>
          <w:sz w:val="28"/>
          <w:szCs w:val="28"/>
        </w:rPr>
        <w:t>、</w:t>
      </w:r>
      <w:r>
        <w:rPr>
          <w:rFonts w:hint="eastAsia" w:ascii="仿宋" w:hAnsi="仿宋" w:eastAsia="仿宋"/>
          <w:sz w:val="28"/>
          <w:szCs w:val="28"/>
          <w:lang w:val="en-US" w:eastAsia="zh-CN"/>
        </w:rPr>
        <w:t>张家瑞</w:t>
      </w: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联系电话：27406961</w:t>
      </w:r>
    </w:p>
    <w:p w14:paraId="10A03B69">
      <w:pPr>
        <w:spacing w:after="160" w:line="300" w:lineRule="auto"/>
        <w:jc w:val="left"/>
        <w:rPr>
          <w:rFonts w:ascii="仿宋" w:hAnsi="仿宋" w:eastAsia="仿宋"/>
          <w:sz w:val="28"/>
          <w:szCs w:val="28"/>
        </w:rPr>
      </w:pPr>
      <w:r>
        <w:rPr>
          <w:rFonts w:ascii="仿宋" w:hAnsi="仿宋" w:eastAsia="仿宋"/>
          <w:sz w:val="28"/>
          <w:szCs w:val="28"/>
        </w:rPr>
        <w:t>教务咨询人：</w:t>
      </w:r>
      <w:r>
        <w:rPr>
          <w:rFonts w:hint="eastAsia" w:ascii="仿宋" w:hAnsi="仿宋" w:eastAsia="仿宋"/>
          <w:sz w:val="28"/>
          <w:szCs w:val="28"/>
        </w:rPr>
        <w:t>贾润平</w:t>
      </w: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联系电话：27404491-60</w:t>
      </w:r>
      <w:r>
        <w:rPr>
          <w:rFonts w:hint="eastAsia" w:ascii="仿宋" w:hAnsi="仿宋" w:eastAsia="仿宋"/>
          <w:sz w:val="28"/>
          <w:szCs w:val="28"/>
          <w:lang w:val="en-US" w:eastAsia="zh-CN"/>
        </w:rPr>
        <w:t>5</w:t>
      </w:r>
    </w:p>
    <w:p w14:paraId="6D66F185">
      <w:pPr>
        <w:spacing w:after="160" w:line="300" w:lineRule="auto"/>
        <w:jc w:val="left"/>
        <w:rPr>
          <w:rFonts w:ascii="仿宋" w:hAnsi="仿宋" w:eastAsia="仿宋"/>
          <w:sz w:val="28"/>
          <w:szCs w:val="28"/>
        </w:rPr>
      </w:pPr>
      <w:r>
        <w:rPr>
          <w:rFonts w:ascii="仿宋" w:hAnsi="仿宋" w:eastAsia="仿宋"/>
          <w:sz w:val="28"/>
          <w:szCs w:val="28"/>
        </w:rPr>
        <w:t xml:space="preserve">教务系统操作人：贾润平   </w:t>
      </w:r>
      <w:r>
        <w:rPr>
          <w:rFonts w:hint="eastAsia" w:ascii="仿宋" w:hAnsi="仿宋" w:eastAsia="仿宋"/>
          <w:sz w:val="28"/>
          <w:szCs w:val="28"/>
        </w:rPr>
        <w:t xml:space="preserve"> </w:t>
      </w:r>
      <w:r>
        <w:rPr>
          <w:rFonts w:ascii="仿宋" w:hAnsi="仿宋" w:eastAsia="仿宋"/>
          <w:sz w:val="28"/>
          <w:szCs w:val="28"/>
        </w:rPr>
        <w:t>联系电话：27404491-60</w:t>
      </w:r>
      <w:r>
        <w:rPr>
          <w:rFonts w:hint="eastAsia" w:ascii="仿宋" w:hAnsi="仿宋" w:eastAsia="仿宋"/>
          <w:sz w:val="28"/>
          <w:szCs w:val="28"/>
          <w:lang w:val="en-US" w:eastAsia="zh-CN"/>
        </w:rPr>
        <w:t>5</w:t>
      </w:r>
    </w:p>
    <w:p w14:paraId="4715DBB2">
      <w:pPr>
        <w:spacing w:after="160" w:line="300" w:lineRule="auto"/>
        <w:rPr>
          <w:rFonts w:ascii="仿宋" w:hAnsi="仿宋" w:eastAsia="仿宋"/>
          <w:b/>
          <w:sz w:val="28"/>
          <w:szCs w:val="28"/>
        </w:rPr>
      </w:pPr>
      <w:r>
        <w:rPr>
          <w:rFonts w:ascii="仿宋" w:hAnsi="仿宋" w:eastAsia="仿宋"/>
          <w:b/>
          <w:sz w:val="28"/>
          <w:szCs w:val="28"/>
        </w:rPr>
        <w:t>三、主修专业确认实施办法</w:t>
      </w:r>
    </w:p>
    <w:p w14:paraId="6BCEE71A">
      <w:pPr>
        <w:spacing w:after="160" w:line="300" w:lineRule="auto"/>
        <w:rPr>
          <w:rFonts w:ascii="仿宋" w:hAnsi="仿宋" w:eastAsia="仿宋"/>
          <w:b/>
          <w:sz w:val="28"/>
          <w:szCs w:val="28"/>
        </w:rPr>
      </w:pPr>
      <w:r>
        <w:rPr>
          <w:rFonts w:ascii="仿宋" w:hAnsi="仿宋" w:eastAsia="仿宋"/>
          <w:b/>
          <w:sz w:val="28"/>
          <w:szCs w:val="28"/>
        </w:rPr>
        <w:t>（一）</w:t>
      </w:r>
      <w:r>
        <w:rPr>
          <w:rFonts w:hint="eastAsia" w:ascii="仿宋" w:hAnsi="仿宋" w:eastAsia="仿宋"/>
          <w:b/>
          <w:sz w:val="28"/>
          <w:szCs w:val="28"/>
        </w:rPr>
        <w:t>建筑</w:t>
      </w:r>
      <w:r>
        <w:rPr>
          <w:rFonts w:ascii="仿宋" w:hAnsi="仿宋" w:eastAsia="仿宋"/>
          <w:b/>
          <w:sz w:val="28"/>
          <w:szCs w:val="28"/>
        </w:rPr>
        <w:t>类各专业基本名额</w:t>
      </w:r>
    </w:p>
    <w:tbl>
      <w:tblPr>
        <w:tblStyle w:val="36"/>
        <w:tblW w:w="8465"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3"/>
        <w:gridCol w:w="3812"/>
      </w:tblGrid>
      <w:tr w14:paraId="336CE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53" w:type="dxa"/>
            <w:vAlign w:val="center"/>
          </w:tcPr>
          <w:p w14:paraId="601A6AE1">
            <w:pPr>
              <w:spacing w:after="160" w:line="300" w:lineRule="auto"/>
              <w:jc w:val="center"/>
              <w:rPr>
                <w:rFonts w:ascii="仿宋" w:hAnsi="仿宋" w:eastAsia="仿宋"/>
                <w:b/>
                <w:sz w:val="28"/>
                <w:szCs w:val="28"/>
              </w:rPr>
            </w:pPr>
            <w:r>
              <w:rPr>
                <w:rFonts w:ascii="仿宋" w:hAnsi="仿宋" w:eastAsia="仿宋"/>
                <w:b/>
                <w:sz w:val="28"/>
                <w:szCs w:val="28"/>
              </w:rPr>
              <w:t>类内专业名称</w:t>
            </w:r>
          </w:p>
        </w:tc>
        <w:tc>
          <w:tcPr>
            <w:tcW w:w="3812" w:type="dxa"/>
            <w:vAlign w:val="center"/>
          </w:tcPr>
          <w:p w14:paraId="08DA4408">
            <w:pPr>
              <w:spacing w:after="160" w:line="300" w:lineRule="auto"/>
              <w:jc w:val="center"/>
              <w:rPr>
                <w:rFonts w:ascii="仿宋" w:hAnsi="仿宋" w:eastAsia="仿宋"/>
                <w:b/>
                <w:sz w:val="28"/>
                <w:szCs w:val="28"/>
              </w:rPr>
            </w:pPr>
            <w:r>
              <w:rPr>
                <w:rFonts w:ascii="仿宋" w:hAnsi="仿宋" w:eastAsia="仿宋"/>
                <w:b/>
                <w:sz w:val="28"/>
                <w:szCs w:val="28"/>
              </w:rPr>
              <w:t>占大类招生人数比例</w:t>
            </w:r>
          </w:p>
        </w:tc>
      </w:tr>
      <w:tr w14:paraId="2ECCB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53" w:type="dxa"/>
            <w:vAlign w:val="center"/>
          </w:tcPr>
          <w:p w14:paraId="56EC4B46">
            <w:pPr>
              <w:spacing w:after="160" w:line="300" w:lineRule="auto"/>
              <w:jc w:val="center"/>
              <w:rPr>
                <w:rFonts w:ascii="仿宋" w:hAnsi="仿宋" w:eastAsia="仿宋"/>
                <w:sz w:val="28"/>
                <w:szCs w:val="28"/>
              </w:rPr>
            </w:pPr>
            <w:r>
              <w:rPr>
                <w:rFonts w:ascii="仿宋" w:hAnsi="仿宋" w:eastAsia="仿宋"/>
                <w:sz w:val="28"/>
                <w:szCs w:val="28"/>
              </w:rPr>
              <w:t>建筑学</w:t>
            </w:r>
          </w:p>
        </w:tc>
        <w:tc>
          <w:tcPr>
            <w:tcW w:w="3812" w:type="dxa"/>
            <w:vAlign w:val="center"/>
          </w:tcPr>
          <w:p w14:paraId="0F46F39D">
            <w:pPr>
              <w:spacing w:after="160" w:line="300" w:lineRule="auto"/>
              <w:jc w:val="center"/>
              <w:rPr>
                <w:rFonts w:ascii="仿宋" w:hAnsi="仿宋" w:eastAsia="仿宋"/>
                <w:sz w:val="28"/>
                <w:szCs w:val="28"/>
              </w:rPr>
            </w:pPr>
            <w:r>
              <w:rPr>
                <w:rFonts w:ascii="仿宋" w:hAnsi="仿宋" w:eastAsia="仿宋"/>
                <w:sz w:val="28"/>
                <w:szCs w:val="28"/>
              </w:rPr>
              <w:t>60%</w:t>
            </w:r>
          </w:p>
        </w:tc>
      </w:tr>
      <w:tr w14:paraId="4FB5C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53" w:type="dxa"/>
            <w:vAlign w:val="center"/>
          </w:tcPr>
          <w:p w14:paraId="2F81D5BE">
            <w:pPr>
              <w:spacing w:after="160" w:line="300" w:lineRule="auto"/>
              <w:jc w:val="center"/>
              <w:rPr>
                <w:rFonts w:ascii="仿宋" w:hAnsi="仿宋" w:eastAsia="仿宋"/>
                <w:sz w:val="28"/>
                <w:szCs w:val="28"/>
              </w:rPr>
            </w:pPr>
            <w:r>
              <w:rPr>
                <w:rFonts w:ascii="仿宋" w:hAnsi="仿宋" w:eastAsia="仿宋"/>
                <w:sz w:val="28"/>
                <w:szCs w:val="28"/>
              </w:rPr>
              <w:t>城乡规划</w:t>
            </w:r>
          </w:p>
        </w:tc>
        <w:tc>
          <w:tcPr>
            <w:tcW w:w="3812" w:type="dxa"/>
            <w:vAlign w:val="center"/>
          </w:tcPr>
          <w:p w14:paraId="419970C2">
            <w:pPr>
              <w:spacing w:after="160" w:line="300" w:lineRule="auto"/>
              <w:jc w:val="center"/>
              <w:rPr>
                <w:rFonts w:ascii="仿宋" w:hAnsi="仿宋" w:eastAsia="仿宋"/>
                <w:sz w:val="28"/>
                <w:szCs w:val="28"/>
              </w:rPr>
            </w:pPr>
            <w:r>
              <w:rPr>
                <w:rFonts w:ascii="仿宋" w:hAnsi="仿宋" w:eastAsia="仿宋"/>
                <w:sz w:val="28"/>
                <w:szCs w:val="28"/>
              </w:rPr>
              <w:t>25%</w:t>
            </w:r>
          </w:p>
        </w:tc>
      </w:tr>
      <w:tr w14:paraId="12A67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53" w:type="dxa"/>
            <w:vAlign w:val="center"/>
          </w:tcPr>
          <w:p w14:paraId="3B20486B">
            <w:pPr>
              <w:spacing w:after="160" w:line="300" w:lineRule="auto"/>
              <w:jc w:val="center"/>
              <w:rPr>
                <w:rFonts w:ascii="仿宋" w:hAnsi="仿宋" w:eastAsia="仿宋"/>
                <w:sz w:val="28"/>
                <w:szCs w:val="28"/>
              </w:rPr>
            </w:pPr>
            <w:r>
              <w:rPr>
                <w:rFonts w:ascii="仿宋" w:hAnsi="仿宋" w:eastAsia="仿宋"/>
                <w:sz w:val="28"/>
                <w:szCs w:val="28"/>
              </w:rPr>
              <w:t>风景园林</w:t>
            </w:r>
          </w:p>
        </w:tc>
        <w:tc>
          <w:tcPr>
            <w:tcW w:w="3812" w:type="dxa"/>
            <w:vAlign w:val="center"/>
          </w:tcPr>
          <w:p w14:paraId="3F59341C">
            <w:pPr>
              <w:spacing w:after="160" w:line="300" w:lineRule="auto"/>
              <w:jc w:val="center"/>
              <w:rPr>
                <w:rFonts w:ascii="仿宋" w:hAnsi="仿宋" w:eastAsia="仿宋"/>
                <w:sz w:val="28"/>
                <w:szCs w:val="28"/>
              </w:rPr>
            </w:pPr>
            <w:r>
              <w:rPr>
                <w:rFonts w:ascii="仿宋" w:hAnsi="仿宋" w:eastAsia="仿宋"/>
                <w:sz w:val="28"/>
                <w:szCs w:val="28"/>
              </w:rPr>
              <w:t>15%</w:t>
            </w:r>
          </w:p>
        </w:tc>
      </w:tr>
      <w:tr w14:paraId="3E42E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53" w:type="dxa"/>
            <w:vAlign w:val="center"/>
          </w:tcPr>
          <w:p w14:paraId="66359941">
            <w:pPr>
              <w:spacing w:after="160" w:line="300" w:lineRule="auto"/>
              <w:jc w:val="center"/>
              <w:rPr>
                <w:rFonts w:ascii="仿宋" w:hAnsi="仿宋" w:eastAsia="仿宋"/>
                <w:sz w:val="28"/>
                <w:szCs w:val="28"/>
              </w:rPr>
            </w:pPr>
            <w:r>
              <w:rPr>
                <w:rFonts w:ascii="仿宋" w:hAnsi="仿宋" w:eastAsia="仿宋"/>
                <w:sz w:val="28"/>
                <w:szCs w:val="28"/>
              </w:rPr>
              <w:t>合计</w:t>
            </w:r>
          </w:p>
        </w:tc>
        <w:tc>
          <w:tcPr>
            <w:tcW w:w="3812" w:type="dxa"/>
            <w:vAlign w:val="center"/>
          </w:tcPr>
          <w:p w14:paraId="5F5FAECA">
            <w:pPr>
              <w:spacing w:after="160" w:line="300" w:lineRule="auto"/>
              <w:jc w:val="center"/>
              <w:rPr>
                <w:rFonts w:ascii="仿宋" w:hAnsi="仿宋" w:eastAsia="仿宋"/>
                <w:sz w:val="28"/>
                <w:szCs w:val="28"/>
              </w:rPr>
            </w:pPr>
            <w:r>
              <w:rPr>
                <w:rFonts w:ascii="仿宋" w:hAnsi="仿宋" w:eastAsia="仿宋"/>
                <w:sz w:val="28"/>
                <w:szCs w:val="28"/>
              </w:rPr>
              <w:t>100%</w:t>
            </w:r>
          </w:p>
        </w:tc>
      </w:tr>
    </w:tbl>
    <w:p w14:paraId="33DE684D">
      <w:pPr>
        <w:spacing w:after="160" w:line="300" w:lineRule="auto"/>
        <w:rPr>
          <w:rFonts w:ascii="仿宋" w:hAnsi="仿宋" w:eastAsia="仿宋"/>
          <w:sz w:val="28"/>
          <w:szCs w:val="28"/>
        </w:rPr>
      </w:pPr>
      <w:r>
        <w:rPr>
          <w:rFonts w:ascii="仿宋" w:hAnsi="仿宋" w:eastAsia="仿宋"/>
          <w:b/>
          <w:sz w:val="28"/>
          <w:szCs w:val="28"/>
        </w:rPr>
        <w:t>说明：</w:t>
      </w:r>
      <w:r>
        <w:rPr>
          <w:rFonts w:ascii="仿宋" w:hAnsi="仿宋" w:eastAsia="仿宋"/>
          <w:sz w:val="28"/>
          <w:szCs w:val="28"/>
        </w:rPr>
        <w:t>建筑</w:t>
      </w:r>
      <w:r>
        <w:rPr>
          <w:rFonts w:hint="eastAsia" w:ascii="仿宋" w:hAnsi="仿宋" w:eastAsia="仿宋"/>
          <w:sz w:val="28"/>
          <w:szCs w:val="28"/>
        </w:rPr>
        <w:t>类招生设置了</w:t>
      </w:r>
      <w:r>
        <w:rPr>
          <w:rFonts w:ascii="仿宋" w:hAnsi="仿宋" w:eastAsia="仿宋"/>
          <w:sz w:val="28"/>
          <w:szCs w:val="28"/>
        </w:rPr>
        <w:t>建筑实验班，经由建筑类招生录取的高考成绩特别优秀的考生（判定标准为各省（市）录取到建筑类学生中高考投档成绩在该省（市）建筑类录取学生前45%，具体名额和学生名单招生后</w:t>
      </w:r>
      <w:r>
        <w:rPr>
          <w:rFonts w:hint="eastAsia" w:ascii="仿宋" w:hAnsi="仿宋" w:eastAsia="仿宋"/>
          <w:sz w:val="28"/>
          <w:szCs w:val="28"/>
        </w:rPr>
        <w:t>公布</w:t>
      </w:r>
      <w:r>
        <w:rPr>
          <w:rFonts w:ascii="仿宋" w:hAnsi="仿宋" w:eastAsia="仿宋"/>
          <w:sz w:val="28"/>
          <w:szCs w:val="28"/>
        </w:rPr>
        <w:t>）进入建筑实验班，</w:t>
      </w:r>
      <w:r>
        <w:rPr>
          <w:rFonts w:ascii="仿宋" w:hAnsi="仿宋" w:eastAsia="仿宋"/>
          <w:color w:val="000000" w:themeColor="text1"/>
          <w:sz w:val="28"/>
          <w:szCs w:val="28"/>
          <w14:textFill>
            <w14:solidFill>
              <w14:schemeClr w14:val="tx1"/>
            </w14:solidFill>
          </w14:textFill>
        </w:rPr>
        <w:t>在主修专业确认时</w:t>
      </w:r>
      <w:r>
        <w:rPr>
          <w:rFonts w:hint="eastAsia" w:ascii="仿宋" w:hAnsi="仿宋" w:eastAsia="仿宋"/>
          <w:color w:val="000000" w:themeColor="text1"/>
          <w:sz w:val="28"/>
          <w:szCs w:val="28"/>
          <w14:textFill>
            <w14:solidFill>
              <w14:schemeClr w14:val="tx1"/>
            </w14:solidFill>
          </w14:textFill>
        </w:rPr>
        <w:t>可</w:t>
      </w:r>
      <w:r>
        <w:rPr>
          <w:rFonts w:ascii="仿宋" w:hAnsi="仿宋" w:eastAsia="仿宋"/>
          <w:color w:val="000000" w:themeColor="text1"/>
          <w:sz w:val="28"/>
          <w:szCs w:val="28"/>
          <w14:textFill>
            <w14:solidFill>
              <w14:schemeClr w14:val="tx1"/>
            </w14:solidFill>
          </w14:textFill>
        </w:rPr>
        <w:t>优先选择</w:t>
      </w:r>
      <w:r>
        <w:rPr>
          <w:rFonts w:hint="eastAsia" w:ascii="仿宋" w:hAnsi="仿宋" w:eastAsia="仿宋"/>
          <w:color w:val="000000" w:themeColor="text1"/>
          <w:sz w:val="28"/>
          <w:szCs w:val="28"/>
          <w14:textFill>
            <w14:solidFill>
              <w14:schemeClr w14:val="tx1"/>
            </w14:solidFill>
          </w14:textFill>
        </w:rPr>
        <w:t>建筑</w:t>
      </w:r>
      <w:r>
        <w:rPr>
          <w:rFonts w:ascii="仿宋" w:hAnsi="仿宋" w:eastAsia="仿宋"/>
          <w:color w:val="000000" w:themeColor="text1"/>
          <w:sz w:val="28"/>
          <w:szCs w:val="28"/>
          <w14:textFill>
            <w14:solidFill>
              <w14:schemeClr w14:val="tx1"/>
            </w14:solidFill>
          </w14:textFill>
        </w:rPr>
        <w:t>类内专业进行确认。各专业</w:t>
      </w:r>
      <w:r>
        <w:rPr>
          <w:rFonts w:ascii="仿宋" w:hAnsi="仿宋" w:eastAsia="仿宋"/>
          <w:sz w:val="28"/>
          <w:szCs w:val="28"/>
        </w:rPr>
        <w:t>剩余名额由非实验班学生在专业确认时进行选择。类内各专业实际名额入校后确定。</w:t>
      </w:r>
    </w:p>
    <w:p w14:paraId="0BD94B8A">
      <w:pPr>
        <w:spacing w:after="160" w:line="300" w:lineRule="auto"/>
        <w:rPr>
          <w:rFonts w:ascii="仿宋" w:hAnsi="仿宋" w:eastAsia="仿宋"/>
          <w:b/>
          <w:sz w:val="28"/>
          <w:szCs w:val="28"/>
        </w:rPr>
      </w:pPr>
      <w:r>
        <w:rPr>
          <w:rFonts w:ascii="仿宋" w:hAnsi="仿宋" w:eastAsia="仿宋"/>
          <w:b/>
          <w:sz w:val="28"/>
          <w:szCs w:val="28"/>
        </w:rPr>
        <w:t>（二）主修专业确认遴选原则</w:t>
      </w:r>
    </w:p>
    <w:p w14:paraId="18C1EC5B">
      <w:pPr>
        <w:spacing w:after="160" w:line="300" w:lineRule="auto"/>
        <w:ind w:firstLine="560"/>
        <w:rPr>
          <w:rFonts w:ascii="仿宋" w:hAnsi="仿宋" w:eastAsia="仿宋"/>
          <w:sz w:val="28"/>
          <w:szCs w:val="28"/>
        </w:rPr>
      </w:pPr>
      <w:r>
        <w:rPr>
          <w:rFonts w:ascii="仿宋" w:hAnsi="仿宋" w:eastAsia="仿宋"/>
          <w:sz w:val="28"/>
          <w:szCs w:val="28"/>
        </w:rPr>
        <w:t>每位学生选择3个专业并排序，学院按照“志愿优先，参考分数”的原则，自前向后、进行确认或遴选。具体实施办法如下：</w:t>
      </w:r>
    </w:p>
    <w:p w14:paraId="6FA328AE">
      <w:pPr>
        <w:spacing w:after="160" w:line="300" w:lineRule="auto"/>
        <w:rPr>
          <w:rFonts w:ascii="仿宋" w:hAnsi="仿宋" w:eastAsia="仿宋"/>
          <w:sz w:val="28"/>
          <w:szCs w:val="28"/>
        </w:rPr>
      </w:pPr>
      <w:r>
        <w:rPr>
          <w:rFonts w:ascii="仿宋" w:hAnsi="仿宋" w:eastAsia="仿宋"/>
          <w:sz w:val="28"/>
          <w:szCs w:val="28"/>
        </w:rPr>
        <w:t>1、当申请人数不大于专业招生名额时，</w:t>
      </w:r>
      <w:r>
        <w:rPr>
          <w:rFonts w:hint="eastAsia" w:ascii="仿宋" w:hAnsi="仿宋" w:eastAsia="仿宋"/>
          <w:sz w:val="28"/>
          <w:szCs w:val="28"/>
        </w:rPr>
        <w:t>则</w:t>
      </w:r>
      <w:r>
        <w:rPr>
          <w:rFonts w:ascii="仿宋" w:hAnsi="仿宋" w:eastAsia="仿宋"/>
          <w:sz w:val="28"/>
          <w:szCs w:val="28"/>
        </w:rPr>
        <w:t>申请学生全部确认进入该专业</w:t>
      </w:r>
      <w:r>
        <w:rPr>
          <w:rFonts w:hint="eastAsia" w:ascii="仿宋" w:hAnsi="仿宋" w:eastAsia="仿宋"/>
          <w:sz w:val="28"/>
          <w:szCs w:val="28"/>
        </w:rPr>
        <w:t>；</w:t>
      </w:r>
      <w:r>
        <w:rPr>
          <w:rFonts w:ascii="仿宋" w:hAnsi="仿宋" w:eastAsia="仿宋"/>
          <w:sz w:val="28"/>
          <w:szCs w:val="28"/>
        </w:rPr>
        <w:t>当申请人数大于专业招生名额时，该专业须按照学生第一</w:t>
      </w:r>
      <w:r>
        <w:rPr>
          <w:rFonts w:hint="eastAsia" w:ascii="仿宋" w:hAnsi="仿宋" w:eastAsia="仿宋"/>
          <w:sz w:val="28"/>
          <w:szCs w:val="28"/>
        </w:rPr>
        <w:t>学期</w:t>
      </w:r>
      <w:r>
        <w:rPr>
          <w:rFonts w:ascii="仿宋" w:hAnsi="仿宋" w:eastAsia="仿宋"/>
          <w:sz w:val="28"/>
          <w:szCs w:val="28"/>
        </w:rPr>
        <w:t>成绩排序进行遴选。</w:t>
      </w:r>
    </w:p>
    <w:p w14:paraId="13C43B73">
      <w:pPr>
        <w:spacing w:after="160" w:line="300" w:lineRule="auto"/>
        <w:rPr>
          <w:rFonts w:ascii="仿宋" w:hAnsi="仿宋" w:eastAsia="仿宋"/>
          <w:sz w:val="28"/>
          <w:szCs w:val="28"/>
        </w:rPr>
      </w:pPr>
      <w:r>
        <w:rPr>
          <w:rFonts w:ascii="仿宋" w:hAnsi="仿宋" w:eastAsia="仿宋"/>
          <w:sz w:val="28"/>
          <w:szCs w:val="28"/>
        </w:rPr>
        <w:t>2、当类内某一专业的基本名额</w:t>
      </w:r>
      <w:r>
        <w:rPr>
          <w:rFonts w:hint="eastAsia" w:ascii="仿宋" w:hAnsi="仿宋" w:eastAsia="仿宋"/>
          <w:sz w:val="28"/>
          <w:szCs w:val="28"/>
        </w:rPr>
        <w:t>已满</w:t>
      </w:r>
      <w:r>
        <w:rPr>
          <w:rFonts w:ascii="仿宋" w:hAnsi="仿宋" w:eastAsia="仿宋"/>
          <w:sz w:val="28"/>
          <w:szCs w:val="28"/>
        </w:rPr>
        <w:t>时，该专业从可选择的专业列表中移除，即后续学生不能再进入已移除专业。</w:t>
      </w:r>
    </w:p>
    <w:p w14:paraId="7B6E7AF6">
      <w:pPr>
        <w:spacing w:after="160" w:line="300" w:lineRule="auto"/>
        <w:rPr>
          <w:rFonts w:ascii="仿宋" w:hAnsi="仿宋" w:eastAsia="仿宋"/>
          <w:sz w:val="28"/>
          <w:szCs w:val="28"/>
        </w:rPr>
      </w:pPr>
      <w:r>
        <w:rPr>
          <w:rFonts w:ascii="仿宋" w:hAnsi="仿宋" w:eastAsia="仿宋"/>
          <w:sz w:val="28"/>
          <w:szCs w:val="28"/>
        </w:rPr>
        <w:t>3、学生第一学</w:t>
      </w:r>
      <w:r>
        <w:rPr>
          <w:rFonts w:hint="eastAsia" w:ascii="仿宋" w:hAnsi="仿宋" w:eastAsia="仿宋"/>
          <w:sz w:val="28"/>
          <w:szCs w:val="28"/>
        </w:rPr>
        <w:t>期</w:t>
      </w:r>
      <w:r>
        <w:rPr>
          <w:rFonts w:ascii="仿宋" w:hAnsi="仿宋" w:eastAsia="仿宋"/>
          <w:sz w:val="28"/>
          <w:szCs w:val="28"/>
        </w:rPr>
        <w:t>的学习成绩排序以教务管理系统排序为准，包含全部必修课和选修课</w:t>
      </w:r>
      <w:r>
        <w:rPr>
          <w:rFonts w:hint="eastAsia" w:ascii="仿宋" w:hAnsi="仿宋" w:eastAsia="仿宋"/>
          <w:sz w:val="28"/>
          <w:szCs w:val="28"/>
        </w:rPr>
        <w:t>。</w:t>
      </w:r>
    </w:p>
    <w:p w14:paraId="48068C83">
      <w:pPr>
        <w:spacing w:after="160" w:line="300" w:lineRule="auto"/>
        <w:jc w:val="left"/>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lang w:val="en-US" w:eastAsia="zh-CN"/>
        </w:rPr>
        <w:t>24251</w:t>
      </w:r>
      <w:r>
        <w:rPr>
          <w:rFonts w:ascii="仿宋" w:hAnsi="仿宋" w:eastAsia="仿宋"/>
          <w:sz w:val="28"/>
          <w:szCs w:val="28"/>
        </w:rPr>
        <w:t>学期未修满（必修课和选修课）</w:t>
      </w:r>
      <w:r>
        <w:rPr>
          <w:rFonts w:hint="eastAsia" w:ascii="仿宋" w:hAnsi="仿宋" w:eastAsia="仿宋"/>
          <w:sz w:val="28"/>
          <w:szCs w:val="28"/>
        </w:rPr>
        <w:t xml:space="preserve"> 23</w:t>
      </w:r>
      <w:r>
        <w:rPr>
          <w:rFonts w:ascii="仿宋" w:hAnsi="仿宋" w:eastAsia="仿宋"/>
          <w:sz w:val="28"/>
          <w:szCs w:val="28"/>
        </w:rPr>
        <w:t>学分</w:t>
      </w:r>
      <w:r>
        <w:rPr>
          <w:rFonts w:hint="eastAsia" w:ascii="仿宋" w:hAnsi="仿宋" w:eastAsia="仿宋"/>
          <w:sz w:val="28"/>
          <w:szCs w:val="28"/>
        </w:rPr>
        <w:t>课程</w:t>
      </w:r>
      <w:r>
        <w:rPr>
          <w:rFonts w:ascii="仿宋" w:hAnsi="仿宋" w:eastAsia="仿宋"/>
          <w:sz w:val="28"/>
          <w:szCs w:val="28"/>
        </w:rPr>
        <w:t>的学生，原则上分流到未被选满的专业。</w:t>
      </w:r>
    </w:p>
    <w:p w14:paraId="0F3B1DA8">
      <w:pPr>
        <w:spacing w:after="160" w:line="300" w:lineRule="auto"/>
        <w:rPr>
          <w:rFonts w:ascii="仿宋" w:hAnsi="仿宋" w:eastAsia="仿宋"/>
          <w:b/>
          <w:sz w:val="28"/>
          <w:szCs w:val="28"/>
        </w:rPr>
      </w:pPr>
      <w:r>
        <w:rPr>
          <w:rFonts w:ascii="仿宋" w:hAnsi="仿宋" w:eastAsia="仿宋"/>
          <w:b/>
          <w:sz w:val="28"/>
          <w:szCs w:val="28"/>
        </w:rPr>
        <w:t>四、主修专业确认遴选工作程序及时间安排</w:t>
      </w:r>
    </w:p>
    <w:p w14:paraId="3657710F">
      <w:pPr>
        <w:spacing w:after="160" w:line="300" w:lineRule="auto"/>
        <w:ind w:firstLine="560"/>
        <w:rPr>
          <w:rFonts w:ascii="仿宋" w:hAnsi="仿宋" w:eastAsia="仿宋"/>
          <w:sz w:val="28"/>
          <w:szCs w:val="28"/>
        </w:rPr>
      </w:pPr>
      <w:r>
        <w:rPr>
          <w:rFonts w:hint="eastAsia" w:ascii="仿宋" w:hAnsi="仿宋" w:eastAsia="仿宋"/>
          <w:sz w:val="28"/>
          <w:szCs w:val="28"/>
        </w:rPr>
        <w:t>建筑类按培养方案时间节点（第一学年第一学期结束</w:t>
      </w:r>
      <w:r>
        <w:rPr>
          <w:rFonts w:ascii="仿宋" w:hAnsi="仿宋" w:eastAsia="仿宋"/>
          <w:sz w:val="28"/>
          <w:szCs w:val="28"/>
        </w:rPr>
        <w:t>）开展</w:t>
      </w:r>
      <w:r>
        <w:rPr>
          <w:rFonts w:hint="eastAsia" w:ascii="仿宋" w:hAnsi="仿宋" w:eastAsia="仿宋"/>
          <w:sz w:val="28"/>
          <w:szCs w:val="28"/>
        </w:rPr>
        <w:t>主修</w:t>
      </w:r>
      <w:r>
        <w:rPr>
          <w:rFonts w:ascii="仿宋" w:hAnsi="仿宋" w:eastAsia="仿宋"/>
          <w:sz w:val="28"/>
          <w:szCs w:val="28"/>
        </w:rPr>
        <w:t>专业确认工作。主修专业确认工作分为准备、指导、申报、遴选、公示和上报学校6个阶段。</w:t>
      </w:r>
    </w:p>
    <w:p w14:paraId="0F60DE9C">
      <w:pPr>
        <w:spacing w:after="160" w:line="300" w:lineRule="auto"/>
        <w:rPr>
          <w:rFonts w:ascii="仿宋" w:hAnsi="仿宋" w:eastAsia="仿宋"/>
          <w:b/>
          <w:sz w:val="28"/>
          <w:szCs w:val="28"/>
        </w:rPr>
      </w:pPr>
      <w:r>
        <w:rPr>
          <w:rFonts w:ascii="仿宋" w:hAnsi="仿宋" w:eastAsia="仿宋"/>
          <w:b/>
          <w:sz w:val="28"/>
          <w:szCs w:val="28"/>
        </w:rPr>
        <w:t>1</w:t>
      </w:r>
      <w:r>
        <w:rPr>
          <w:rFonts w:hint="eastAsia" w:ascii="仿宋" w:hAnsi="仿宋" w:eastAsia="仿宋"/>
          <w:b/>
          <w:sz w:val="28"/>
          <w:szCs w:val="28"/>
        </w:rPr>
        <w:t>、</w:t>
      </w:r>
      <w:r>
        <w:rPr>
          <w:rFonts w:ascii="仿宋" w:hAnsi="仿宋" w:eastAsia="仿宋"/>
          <w:b/>
          <w:sz w:val="28"/>
          <w:szCs w:val="28"/>
        </w:rPr>
        <w:t>准备阶段</w:t>
      </w:r>
    </w:p>
    <w:p w14:paraId="0240D401">
      <w:pPr>
        <w:spacing w:after="160" w:line="300" w:lineRule="auto"/>
        <w:ind w:firstLine="560"/>
        <w:rPr>
          <w:rFonts w:ascii="仿宋" w:hAnsi="仿宋" w:eastAsia="仿宋"/>
          <w:sz w:val="28"/>
          <w:szCs w:val="28"/>
        </w:rPr>
      </w:pPr>
      <w:r>
        <w:rPr>
          <w:rFonts w:hint="eastAsia" w:ascii="仿宋" w:hAnsi="仿宋" w:eastAsia="仿宋"/>
          <w:sz w:val="28"/>
          <w:szCs w:val="28"/>
        </w:rPr>
        <w:t>学院</w:t>
      </w:r>
      <w:r>
        <w:rPr>
          <w:rFonts w:ascii="仿宋" w:hAnsi="仿宋" w:eastAsia="仿宋"/>
          <w:sz w:val="28"/>
          <w:szCs w:val="28"/>
        </w:rPr>
        <w:t>成立本科生主修专业确认工作委员会，并制订《建筑学院主修专业确认实施细则》。</w:t>
      </w:r>
    </w:p>
    <w:p w14:paraId="13662840">
      <w:pPr>
        <w:spacing w:after="160" w:line="300" w:lineRule="auto"/>
        <w:rPr>
          <w:rFonts w:ascii="仿宋" w:hAnsi="仿宋" w:eastAsia="仿宋"/>
          <w:b/>
          <w:sz w:val="28"/>
          <w:szCs w:val="28"/>
        </w:rPr>
      </w:pPr>
      <w:r>
        <w:rPr>
          <w:rFonts w:ascii="仿宋" w:hAnsi="仿宋" w:eastAsia="仿宋"/>
          <w:b/>
          <w:sz w:val="28"/>
          <w:szCs w:val="28"/>
        </w:rPr>
        <w:t>2</w:t>
      </w:r>
      <w:r>
        <w:rPr>
          <w:rFonts w:hint="eastAsia" w:ascii="仿宋" w:hAnsi="仿宋" w:eastAsia="仿宋"/>
          <w:b/>
          <w:sz w:val="28"/>
          <w:szCs w:val="28"/>
        </w:rPr>
        <w:t>、</w:t>
      </w:r>
      <w:r>
        <w:rPr>
          <w:rFonts w:ascii="仿宋" w:hAnsi="仿宋" w:eastAsia="仿宋"/>
          <w:b/>
          <w:sz w:val="28"/>
          <w:szCs w:val="28"/>
        </w:rPr>
        <w:t>指导阶段</w:t>
      </w:r>
    </w:p>
    <w:p w14:paraId="3D46A064">
      <w:pPr>
        <w:spacing w:after="160" w:line="300" w:lineRule="auto"/>
        <w:ind w:firstLine="560"/>
        <w:rPr>
          <w:rFonts w:ascii="仿宋" w:hAnsi="仿宋" w:eastAsia="仿宋"/>
          <w:sz w:val="28"/>
          <w:szCs w:val="28"/>
        </w:rPr>
      </w:pPr>
      <w:r>
        <w:rPr>
          <w:rFonts w:hint="eastAsia" w:ascii="仿宋" w:hAnsi="仿宋" w:eastAsia="仿宋"/>
          <w:sz w:val="28"/>
          <w:szCs w:val="28"/>
          <w:lang w:val="en-US" w:eastAsia="zh-CN"/>
        </w:rPr>
        <w:t>24251</w:t>
      </w:r>
      <w:r>
        <w:rPr>
          <w:rFonts w:ascii="仿宋" w:hAnsi="仿宋" w:eastAsia="仿宋"/>
          <w:sz w:val="28"/>
          <w:szCs w:val="28"/>
        </w:rPr>
        <w:t>学期，学院在学生入学报到</w:t>
      </w:r>
      <w:r>
        <w:rPr>
          <w:rFonts w:hint="eastAsia" w:ascii="仿宋" w:hAnsi="仿宋" w:eastAsia="仿宋"/>
          <w:sz w:val="28"/>
          <w:szCs w:val="28"/>
        </w:rPr>
        <w:t>后</w:t>
      </w:r>
      <w:r>
        <w:rPr>
          <w:rFonts w:ascii="仿宋" w:hAnsi="仿宋" w:eastAsia="仿宋"/>
          <w:sz w:val="28"/>
          <w:szCs w:val="28"/>
        </w:rPr>
        <w:t>发布《建筑学院主修专业确认实施细则》，学生了解相关政策；第一</w:t>
      </w:r>
      <w:r>
        <w:rPr>
          <w:rFonts w:hint="eastAsia" w:ascii="仿宋" w:hAnsi="仿宋" w:eastAsia="仿宋"/>
          <w:sz w:val="28"/>
          <w:szCs w:val="28"/>
          <w:lang w:val="en-US" w:eastAsia="zh-CN"/>
        </w:rPr>
        <w:t>学期</w:t>
      </w:r>
      <w:r>
        <w:rPr>
          <w:rFonts w:ascii="仿宋" w:hAnsi="仿宋" w:eastAsia="仿宋"/>
          <w:sz w:val="28"/>
          <w:szCs w:val="28"/>
        </w:rPr>
        <w:t>通过专业介绍、政策宣讲等多元化形式，使学生充分了解各专业方向和培养特色，</w:t>
      </w:r>
      <w:r>
        <w:rPr>
          <w:rFonts w:hint="eastAsia" w:ascii="仿宋" w:hAnsi="仿宋" w:eastAsia="仿宋"/>
          <w:sz w:val="28"/>
          <w:szCs w:val="28"/>
        </w:rPr>
        <w:t>同时</w:t>
      </w:r>
      <w:r>
        <w:rPr>
          <w:rFonts w:ascii="仿宋" w:hAnsi="仿宋" w:eastAsia="仿宋"/>
          <w:sz w:val="28"/>
          <w:szCs w:val="28"/>
        </w:rPr>
        <w:t>为学生提供个人职业生涯规划等相关专业性咨询，引导学生正确选择专业。</w:t>
      </w:r>
    </w:p>
    <w:p w14:paraId="4F5E5459">
      <w:pPr>
        <w:spacing w:after="160" w:line="300" w:lineRule="auto"/>
        <w:rPr>
          <w:rFonts w:ascii="仿宋" w:hAnsi="仿宋" w:eastAsia="仿宋"/>
          <w:b/>
          <w:sz w:val="28"/>
          <w:szCs w:val="28"/>
        </w:rPr>
      </w:pPr>
      <w:r>
        <w:rPr>
          <w:rFonts w:ascii="仿宋" w:hAnsi="仿宋" w:eastAsia="仿宋"/>
          <w:b/>
          <w:sz w:val="28"/>
          <w:szCs w:val="28"/>
        </w:rPr>
        <w:t>3</w:t>
      </w:r>
      <w:r>
        <w:rPr>
          <w:rFonts w:hint="eastAsia" w:ascii="仿宋" w:hAnsi="仿宋" w:eastAsia="仿宋"/>
          <w:b/>
          <w:sz w:val="28"/>
          <w:szCs w:val="28"/>
        </w:rPr>
        <w:t>、</w:t>
      </w:r>
      <w:r>
        <w:rPr>
          <w:rFonts w:ascii="仿宋" w:hAnsi="仿宋" w:eastAsia="仿宋"/>
          <w:b/>
          <w:sz w:val="28"/>
          <w:szCs w:val="28"/>
        </w:rPr>
        <w:t xml:space="preserve"> 申报阶段</w:t>
      </w:r>
    </w:p>
    <w:p w14:paraId="3E645B0F">
      <w:pPr>
        <w:spacing w:after="160" w:line="300" w:lineRule="auto"/>
        <w:ind w:firstLine="560"/>
        <w:rPr>
          <w:rFonts w:ascii="仿宋" w:hAnsi="仿宋" w:eastAsia="仿宋"/>
          <w:sz w:val="28"/>
          <w:szCs w:val="28"/>
        </w:rPr>
      </w:pPr>
      <w:r>
        <w:rPr>
          <w:rFonts w:ascii="仿宋" w:hAnsi="仿宋" w:eastAsia="仿宋"/>
          <w:sz w:val="28"/>
          <w:szCs w:val="28"/>
        </w:rPr>
        <w:t>学生应根据自身特</w:t>
      </w:r>
      <w:r>
        <w:rPr>
          <w:rFonts w:hint="eastAsia" w:ascii="仿宋" w:hAnsi="仿宋" w:eastAsia="仿宋"/>
          <w:sz w:val="28"/>
          <w:szCs w:val="28"/>
        </w:rPr>
        <w:t>长</w:t>
      </w:r>
      <w:r>
        <w:rPr>
          <w:rFonts w:ascii="仿宋" w:hAnsi="仿宋" w:eastAsia="仿宋"/>
          <w:sz w:val="28"/>
          <w:szCs w:val="28"/>
        </w:rPr>
        <w:t>并参考各专业基本名额，经过全面及慎重考虑后在学校教务管理系统中（http://classes.tju.edu.cn）一次性</w:t>
      </w:r>
      <w:r>
        <w:rPr>
          <w:rFonts w:hint="eastAsia" w:ascii="仿宋" w:hAnsi="仿宋" w:eastAsia="仿宋"/>
          <w:sz w:val="28"/>
          <w:szCs w:val="28"/>
        </w:rPr>
        <w:t>填报并</w:t>
      </w:r>
      <w:r>
        <w:rPr>
          <w:rFonts w:ascii="仿宋" w:hAnsi="仿宋" w:eastAsia="仿宋"/>
          <w:sz w:val="28"/>
          <w:szCs w:val="28"/>
        </w:rPr>
        <w:t>提交对本大类所有专业排序的志愿申请，志愿填报截止后不能变更。</w:t>
      </w:r>
    </w:p>
    <w:p w14:paraId="4D3105BF">
      <w:pPr>
        <w:spacing w:after="160" w:line="300" w:lineRule="auto"/>
        <w:ind w:firstLine="560"/>
        <w:rPr>
          <w:rFonts w:ascii="仿宋" w:hAnsi="仿宋" w:eastAsia="仿宋"/>
          <w:sz w:val="28"/>
          <w:szCs w:val="28"/>
        </w:rPr>
      </w:pPr>
      <w:r>
        <w:rPr>
          <w:rFonts w:hint="eastAsia" w:ascii="仿宋" w:hAnsi="仿宋" w:eastAsia="仿宋"/>
          <w:sz w:val="28"/>
          <w:szCs w:val="28"/>
        </w:rPr>
        <w:t>志愿填报分两批次：</w:t>
      </w:r>
      <w:r>
        <w:rPr>
          <w:rFonts w:ascii="仿宋" w:hAnsi="仿宋" w:eastAsia="仿宋"/>
          <w:sz w:val="28"/>
          <w:szCs w:val="28"/>
        </w:rPr>
        <w:t>实验班学生第一批填报志愿。</w:t>
      </w:r>
    </w:p>
    <w:p w14:paraId="743766C5">
      <w:pPr>
        <w:spacing w:after="160" w:line="300" w:lineRule="auto"/>
        <w:ind w:firstLine="3080" w:firstLineChars="1100"/>
        <w:rPr>
          <w:rFonts w:ascii="仿宋" w:hAnsi="仿宋" w:eastAsia="仿宋"/>
          <w:sz w:val="28"/>
          <w:szCs w:val="28"/>
        </w:rPr>
      </w:pPr>
      <w:r>
        <w:rPr>
          <w:rFonts w:hint="eastAsia" w:ascii="仿宋" w:hAnsi="仿宋" w:eastAsia="仿宋"/>
          <w:sz w:val="28"/>
          <w:szCs w:val="28"/>
        </w:rPr>
        <w:t>非实验班</w:t>
      </w:r>
      <w:r>
        <w:rPr>
          <w:rFonts w:ascii="仿宋" w:hAnsi="仿宋" w:eastAsia="仿宋"/>
          <w:sz w:val="28"/>
          <w:szCs w:val="28"/>
        </w:rPr>
        <w:t>学生第二批填报志愿。</w:t>
      </w:r>
    </w:p>
    <w:p w14:paraId="27F7534F">
      <w:pPr>
        <w:spacing w:after="160" w:line="300" w:lineRule="auto"/>
        <w:rPr>
          <w:rFonts w:ascii="仿宋" w:hAnsi="仿宋" w:eastAsia="仿宋"/>
          <w:b/>
          <w:sz w:val="28"/>
          <w:szCs w:val="28"/>
        </w:rPr>
      </w:pPr>
      <w:r>
        <w:rPr>
          <w:rFonts w:ascii="仿宋" w:hAnsi="仿宋" w:eastAsia="仿宋"/>
          <w:b/>
          <w:sz w:val="28"/>
          <w:szCs w:val="28"/>
        </w:rPr>
        <w:t>4</w:t>
      </w:r>
      <w:r>
        <w:rPr>
          <w:rFonts w:hint="eastAsia" w:ascii="仿宋" w:hAnsi="仿宋" w:eastAsia="仿宋"/>
          <w:b/>
          <w:sz w:val="28"/>
          <w:szCs w:val="28"/>
        </w:rPr>
        <w:t>、</w:t>
      </w:r>
      <w:r>
        <w:rPr>
          <w:rFonts w:ascii="仿宋" w:hAnsi="仿宋" w:eastAsia="仿宋"/>
          <w:b/>
          <w:sz w:val="28"/>
          <w:szCs w:val="28"/>
        </w:rPr>
        <w:t>遴选阶段</w:t>
      </w:r>
    </w:p>
    <w:p w14:paraId="1E670AE9">
      <w:pPr>
        <w:spacing w:after="160" w:line="300" w:lineRule="auto"/>
        <w:ind w:firstLine="560"/>
        <w:rPr>
          <w:rFonts w:ascii="仿宋" w:hAnsi="仿宋" w:eastAsia="仿宋"/>
          <w:sz w:val="28"/>
          <w:szCs w:val="28"/>
        </w:rPr>
      </w:pPr>
      <w:r>
        <w:rPr>
          <w:rFonts w:ascii="仿宋" w:hAnsi="仿宋" w:eastAsia="仿宋"/>
          <w:sz w:val="28"/>
          <w:szCs w:val="28"/>
        </w:rPr>
        <w:t>志愿填报后，学院根据细则要求组织遴选。如学生未按时提交覆盖所有类内专业的志愿申请，学院将通过教务管理系统自动为该生在所属大类中分配有余额的专业作为该生的主修专业。</w:t>
      </w:r>
    </w:p>
    <w:p w14:paraId="2CFF7F9A">
      <w:pPr>
        <w:spacing w:after="160" w:line="300" w:lineRule="auto"/>
        <w:ind w:firstLine="560"/>
        <w:rPr>
          <w:rFonts w:ascii="仿宋" w:hAnsi="仿宋" w:eastAsia="仿宋"/>
          <w:sz w:val="28"/>
          <w:szCs w:val="28"/>
        </w:rPr>
      </w:pPr>
      <w:r>
        <w:rPr>
          <w:rFonts w:hint="eastAsia" w:ascii="仿宋" w:hAnsi="仿宋" w:eastAsia="仿宋"/>
          <w:sz w:val="28"/>
          <w:szCs w:val="28"/>
        </w:rPr>
        <w:t>主修专业确认分两步骤：</w:t>
      </w:r>
      <w:r>
        <w:rPr>
          <w:rFonts w:ascii="仿宋" w:hAnsi="仿宋" w:eastAsia="仿宋"/>
          <w:sz w:val="28"/>
          <w:szCs w:val="28"/>
        </w:rPr>
        <w:t>实验班学生</w:t>
      </w:r>
      <w:r>
        <w:rPr>
          <w:rFonts w:hint="eastAsia" w:ascii="仿宋" w:hAnsi="仿宋" w:eastAsia="仿宋"/>
          <w:sz w:val="28"/>
          <w:szCs w:val="28"/>
        </w:rPr>
        <w:t>确认主修专业</w:t>
      </w:r>
      <w:r>
        <w:rPr>
          <w:rFonts w:ascii="仿宋" w:hAnsi="仿宋" w:eastAsia="仿宋"/>
          <w:sz w:val="28"/>
          <w:szCs w:val="28"/>
        </w:rPr>
        <w:t>。</w:t>
      </w:r>
    </w:p>
    <w:p w14:paraId="6260AD99">
      <w:pPr>
        <w:spacing w:after="160" w:line="300" w:lineRule="auto"/>
        <w:ind w:firstLine="3640" w:firstLineChars="1300"/>
        <w:rPr>
          <w:rFonts w:ascii="仿宋" w:hAnsi="仿宋" w:eastAsia="仿宋"/>
          <w:sz w:val="28"/>
          <w:szCs w:val="28"/>
        </w:rPr>
      </w:pPr>
      <w:r>
        <w:rPr>
          <w:rFonts w:hint="eastAsia" w:ascii="仿宋" w:hAnsi="仿宋" w:eastAsia="仿宋"/>
          <w:sz w:val="28"/>
          <w:szCs w:val="28"/>
        </w:rPr>
        <w:t>非实验班</w:t>
      </w:r>
      <w:r>
        <w:rPr>
          <w:rFonts w:ascii="仿宋" w:hAnsi="仿宋" w:eastAsia="仿宋"/>
          <w:sz w:val="28"/>
          <w:szCs w:val="28"/>
        </w:rPr>
        <w:t>学生</w:t>
      </w:r>
      <w:r>
        <w:rPr>
          <w:rFonts w:hint="eastAsia" w:ascii="仿宋" w:hAnsi="仿宋" w:eastAsia="仿宋"/>
          <w:sz w:val="28"/>
          <w:szCs w:val="28"/>
        </w:rPr>
        <w:t>确认主修专业</w:t>
      </w:r>
      <w:r>
        <w:rPr>
          <w:rFonts w:ascii="仿宋" w:hAnsi="仿宋" w:eastAsia="仿宋"/>
          <w:sz w:val="28"/>
          <w:szCs w:val="28"/>
        </w:rPr>
        <w:t>。</w:t>
      </w:r>
    </w:p>
    <w:p w14:paraId="6036A432">
      <w:pPr>
        <w:spacing w:after="160" w:line="300" w:lineRule="auto"/>
        <w:rPr>
          <w:rFonts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w:t>
      </w:r>
      <w:r>
        <w:rPr>
          <w:rFonts w:ascii="仿宋" w:hAnsi="仿宋" w:eastAsia="仿宋"/>
          <w:b/>
          <w:sz w:val="28"/>
          <w:szCs w:val="28"/>
        </w:rPr>
        <w:t>公示阶段</w:t>
      </w:r>
    </w:p>
    <w:p w14:paraId="6353A798">
      <w:pPr>
        <w:spacing w:after="160" w:line="300" w:lineRule="auto"/>
        <w:ind w:firstLine="560"/>
        <w:rPr>
          <w:rFonts w:ascii="仿宋" w:hAnsi="仿宋" w:eastAsia="仿宋"/>
          <w:sz w:val="28"/>
          <w:szCs w:val="28"/>
        </w:rPr>
      </w:pPr>
      <w:r>
        <w:rPr>
          <w:rFonts w:ascii="仿宋" w:hAnsi="仿宋" w:eastAsia="仿宋"/>
          <w:sz w:val="28"/>
          <w:szCs w:val="28"/>
        </w:rPr>
        <w:t>本科生主修专业确认工作委员会确定各专业学生名单，并公示3个工作日，公示网址：</w:t>
      </w:r>
      <w:r>
        <w:fldChar w:fldCharType="begin"/>
      </w:r>
      <w:r>
        <w:instrText xml:space="preserve"> HYPERLINK "http://arch.tju.edu.cn/bksjx/tztg/" \h </w:instrText>
      </w:r>
      <w:r>
        <w:fldChar w:fldCharType="separate"/>
      </w:r>
      <w:r>
        <w:rPr>
          <w:rStyle w:val="43"/>
          <w:rFonts w:ascii="仿宋" w:hAnsi="仿宋" w:eastAsia="仿宋"/>
          <w:sz w:val="28"/>
          <w:szCs w:val="28"/>
        </w:rPr>
        <w:t>http://arch.tju.edu.cn/bksjx/tztg/</w:t>
      </w:r>
      <w:r>
        <w:rPr>
          <w:rStyle w:val="43"/>
          <w:rFonts w:ascii="仿宋" w:hAnsi="仿宋" w:eastAsia="仿宋"/>
          <w:sz w:val="28"/>
          <w:szCs w:val="28"/>
        </w:rPr>
        <w:fldChar w:fldCharType="end"/>
      </w:r>
      <w:r>
        <w:rPr>
          <w:rFonts w:ascii="仿宋" w:hAnsi="仿宋" w:eastAsia="仿宋"/>
          <w:sz w:val="28"/>
          <w:szCs w:val="28"/>
        </w:rPr>
        <w:t>。公示期内如有异议，学生可向主修专业确认工作委员会提交</w:t>
      </w:r>
      <w:r>
        <w:rPr>
          <w:rFonts w:hint="eastAsia" w:ascii="仿宋" w:hAnsi="仿宋" w:eastAsia="仿宋"/>
          <w:sz w:val="28"/>
          <w:szCs w:val="28"/>
        </w:rPr>
        <w:t>电子版</w:t>
      </w:r>
      <w:r>
        <w:rPr>
          <w:rFonts w:ascii="仿宋" w:hAnsi="仿宋" w:eastAsia="仿宋"/>
          <w:sz w:val="28"/>
          <w:szCs w:val="28"/>
        </w:rPr>
        <w:t>申诉单（</w:t>
      </w:r>
      <w:r>
        <w:rPr>
          <w:rFonts w:hint="eastAsia" w:ascii="仿宋" w:hAnsi="仿宋" w:eastAsia="仿宋"/>
          <w:sz w:val="28"/>
          <w:szCs w:val="28"/>
        </w:rPr>
        <w:t>发送邮箱jiarunping@163.com</w:t>
      </w:r>
      <w:r>
        <w:rPr>
          <w:rFonts w:ascii="仿宋" w:hAnsi="仿宋" w:eastAsia="仿宋"/>
          <w:sz w:val="28"/>
          <w:szCs w:val="28"/>
        </w:rPr>
        <w:t>）。经公示无异议后，报教务处审核备案。</w:t>
      </w:r>
    </w:p>
    <w:p w14:paraId="67A4FEEA">
      <w:pPr>
        <w:spacing w:after="160" w:line="300" w:lineRule="auto"/>
        <w:rPr>
          <w:rFonts w:ascii="仿宋" w:hAnsi="仿宋" w:eastAsia="仿宋"/>
          <w:b/>
          <w:sz w:val="28"/>
          <w:szCs w:val="28"/>
        </w:rPr>
      </w:pPr>
      <w:r>
        <w:rPr>
          <w:rFonts w:ascii="仿宋" w:hAnsi="仿宋" w:eastAsia="仿宋"/>
          <w:b/>
          <w:sz w:val="28"/>
          <w:szCs w:val="28"/>
        </w:rPr>
        <w:t>6</w:t>
      </w:r>
      <w:r>
        <w:rPr>
          <w:rFonts w:hint="eastAsia" w:ascii="仿宋" w:hAnsi="仿宋" w:eastAsia="仿宋"/>
          <w:b/>
          <w:sz w:val="28"/>
          <w:szCs w:val="28"/>
        </w:rPr>
        <w:t>、</w:t>
      </w:r>
      <w:r>
        <w:rPr>
          <w:rFonts w:ascii="仿宋" w:hAnsi="仿宋" w:eastAsia="仿宋"/>
          <w:b/>
          <w:sz w:val="28"/>
          <w:szCs w:val="28"/>
        </w:rPr>
        <w:t>上报学校</w:t>
      </w:r>
    </w:p>
    <w:p w14:paraId="427771AD">
      <w:pPr>
        <w:spacing w:after="160" w:line="300" w:lineRule="auto"/>
        <w:ind w:firstLine="560"/>
        <w:rPr>
          <w:rFonts w:ascii="仿宋" w:hAnsi="仿宋" w:eastAsia="仿宋"/>
          <w:sz w:val="28"/>
          <w:szCs w:val="28"/>
        </w:rPr>
      </w:pPr>
      <w:r>
        <w:rPr>
          <w:rFonts w:ascii="仿宋" w:hAnsi="仿宋" w:eastAsia="仿宋"/>
          <w:sz w:val="28"/>
          <w:szCs w:val="28"/>
        </w:rPr>
        <w:t>建筑学院将最终通过专业遴选的学生名单报送教务处，教务处报送学校批准并发文予以公布，并在教务管理系统中做相应的学籍异动。</w:t>
      </w:r>
    </w:p>
    <w:p w14:paraId="24F10712">
      <w:pPr>
        <w:spacing w:after="160" w:line="300" w:lineRule="auto"/>
        <w:rPr>
          <w:rFonts w:ascii="仿宋" w:hAnsi="仿宋" w:eastAsia="仿宋"/>
          <w:b/>
          <w:sz w:val="28"/>
          <w:szCs w:val="28"/>
        </w:rPr>
      </w:pPr>
      <w:r>
        <w:rPr>
          <w:rFonts w:ascii="仿宋" w:hAnsi="仿宋" w:eastAsia="仿宋"/>
          <w:b/>
          <w:sz w:val="28"/>
          <w:szCs w:val="28"/>
        </w:rPr>
        <w:t>五、相关原则要求</w:t>
      </w:r>
    </w:p>
    <w:p w14:paraId="4363024B">
      <w:pPr>
        <w:spacing w:after="160" w:line="300" w:lineRule="auto"/>
        <w:ind w:firstLine="560"/>
        <w:rPr>
          <w:rFonts w:ascii="仿宋" w:hAnsi="仿宋" w:eastAsia="仿宋"/>
          <w:sz w:val="28"/>
          <w:szCs w:val="28"/>
        </w:rPr>
      </w:pPr>
      <w:r>
        <w:rPr>
          <w:rFonts w:ascii="仿宋" w:hAnsi="仿宋" w:eastAsia="仿宋"/>
          <w:sz w:val="28"/>
          <w:szCs w:val="28"/>
        </w:rPr>
        <w:t>除实施细则中所做的特别规定外，相关遴选原则和条件经公布后不能删减或附加。</w:t>
      </w:r>
    </w:p>
    <w:p w14:paraId="73CC0A87">
      <w:pPr>
        <w:spacing w:after="160" w:line="300" w:lineRule="auto"/>
        <w:ind w:right="1120" w:firstLine="560" w:firstLineChars="200"/>
        <w:rPr>
          <w:rFonts w:ascii="仿宋" w:hAnsi="仿宋" w:eastAsia="仿宋"/>
          <w:sz w:val="28"/>
          <w:szCs w:val="28"/>
        </w:rPr>
      </w:pPr>
      <w:r>
        <w:rPr>
          <w:rFonts w:ascii="仿宋" w:hAnsi="仿宋" w:eastAsia="仿宋"/>
          <w:sz w:val="28"/>
          <w:szCs w:val="28"/>
        </w:rPr>
        <w:t>本实施细则由建筑学院主修专业确认工作委员会负责解释</w:t>
      </w:r>
      <w:r>
        <w:rPr>
          <w:rFonts w:hint="eastAsia" w:ascii="仿宋" w:hAnsi="仿宋" w:eastAsia="仿宋"/>
          <w:sz w:val="28"/>
          <w:szCs w:val="28"/>
        </w:rPr>
        <w:t>。</w:t>
      </w:r>
    </w:p>
    <w:p w14:paraId="6782D47B">
      <w:pPr>
        <w:spacing w:after="160" w:line="300" w:lineRule="auto"/>
        <w:ind w:right="1120"/>
        <w:rPr>
          <w:rFonts w:ascii="仿宋" w:hAnsi="仿宋" w:eastAsia="仿宋"/>
          <w:sz w:val="28"/>
          <w:szCs w:val="28"/>
        </w:rPr>
      </w:pPr>
      <w:bookmarkStart w:id="0" w:name="_GoBack"/>
      <w:bookmarkEnd w:id="0"/>
    </w:p>
    <w:p w14:paraId="3696D8AB">
      <w:pPr>
        <w:spacing w:after="160" w:line="300" w:lineRule="auto"/>
        <w:ind w:right="1120"/>
        <w:rPr>
          <w:rFonts w:ascii="仿宋" w:hAnsi="仿宋" w:eastAsia="仿宋"/>
          <w:sz w:val="28"/>
          <w:szCs w:val="28"/>
        </w:rPr>
      </w:pPr>
    </w:p>
    <w:p w14:paraId="2E97981C">
      <w:pPr>
        <w:spacing w:after="160" w:line="300" w:lineRule="auto"/>
        <w:ind w:right="1120"/>
        <w:rPr>
          <w:rFonts w:ascii="仿宋" w:hAnsi="仿宋" w:eastAsia="仿宋"/>
          <w:sz w:val="28"/>
          <w:szCs w:val="28"/>
        </w:rPr>
      </w:pPr>
    </w:p>
    <w:p w14:paraId="4E356A10">
      <w:pPr>
        <w:spacing w:after="160" w:line="300" w:lineRule="auto"/>
        <w:ind w:right="1680" w:firstLine="5880" w:firstLineChars="2100"/>
        <w:rPr>
          <w:rFonts w:ascii="仿宋" w:hAnsi="仿宋" w:eastAsia="仿宋"/>
          <w:sz w:val="28"/>
          <w:szCs w:val="28"/>
        </w:rPr>
      </w:pPr>
      <w:r>
        <w:rPr>
          <w:rFonts w:ascii="仿宋" w:hAnsi="仿宋" w:eastAsia="仿宋"/>
          <w:sz w:val="28"/>
          <w:szCs w:val="28"/>
        </w:rPr>
        <w:t>建筑学院</w:t>
      </w:r>
      <w:r>
        <w:rPr>
          <w:rFonts w:hint="eastAsia" w:ascii="仿宋" w:hAnsi="仿宋" w:eastAsia="仿宋"/>
          <w:sz w:val="28"/>
          <w:szCs w:val="28"/>
        </w:rPr>
        <w:t xml:space="preserve"> </w:t>
      </w:r>
    </w:p>
    <w:p w14:paraId="42B8983F">
      <w:pPr>
        <w:spacing w:after="160" w:line="300" w:lineRule="auto"/>
        <w:ind w:right="1680"/>
        <w:rPr>
          <w:rFonts w:ascii="仿宋" w:hAnsi="仿宋" w:eastAsia="仿宋"/>
          <w:sz w:val="28"/>
          <w:szCs w:val="28"/>
        </w:rPr>
      </w:pP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年8月</w:t>
      </w:r>
    </w:p>
    <w:sectPr>
      <w:footerReference r:id="rId3" w:type="default"/>
      <w:footerReference r:id="rId4" w:type="even"/>
      <w:pgSz w:w="11906" w:h="16838"/>
      <w:pgMar w:top="2098" w:right="1474" w:bottom="1588" w:left="1588" w:header="2098" w:footer="851" w:gutter="0"/>
      <w:pgNumType w:fmt="numberInDash"/>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553D5">
    <w:pPr>
      <w:pStyle w:val="23"/>
      <w:framePr w:wrap="around" w:vAnchor="text" w:hAnchor="margin" w:x="4067" w:y="1"/>
      <w:snapToGrid w:val="0"/>
      <w:spacing w:after="160"/>
      <w:jc w:val="left"/>
      <w:rPr>
        <w:rStyle w:val="40"/>
        <w:rFonts w:ascii="宋体" w:hAnsi="宋体" w:eastAsia="宋体"/>
        <w:sz w:val="28"/>
        <w:szCs w:val="28"/>
      </w:rPr>
    </w:pPr>
    <w:r>
      <w:rPr>
        <w:rStyle w:val="40"/>
        <w:rFonts w:eastAsia="宋体"/>
      </w:rPr>
      <w:fldChar w:fldCharType="begin"/>
    </w:r>
    <w:r>
      <w:instrText xml:space="preserve">PAGE  \* MERGEFORMAT</w:instrText>
    </w:r>
    <w:r>
      <w:fldChar w:fldCharType="separate"/>
    </w:r>
    <w:r>
      <w:rPr>
        <w:rStyle w:val="40"/>
        <w:rFonts w:ascii="宋体" w:hAnsi="宋体" w:eastAsia="宋体"/>
        <w:sz w:val="28"/>
        <w:szCs w:val="28"/>
      </w:rPr>
      <w:t>- 3 -</w:t>
    </w:r>
    <w:r>
      <w:rPr>
        <w:rFonts w:ascii="宋体" w:hAnsi="宋体" w:eastAsia="宋体"/>
        <w:sz w:val="28"/>
        <w:szCs w:val="28"/>
      </w:rPr>
      <w:fldChar w:fldCharType="end"/>
    </w:r>
  </w:p>
  <w:p w14:paraId="4EAE1FDB">
    <w:pPr>
      <w:pStyle w:val="23"/>
      <w:snapToGrid w:val="0"/>
      <w:spacing w:after="160"/>
      <w:jc w:val="left"/>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F4AD2">
    <w:pPr>
      <w:pStyle w:val="23"/>
      <w:framePr w:wrap="around" w:vAnchor="text" w:hAnchor="margin" w:x="4227" w:y="1"/>
      <w:snapToGrid w:val="0"/>
      <w:spacing w:after="160"/>
      <w:jc w:val="left"/>
      <w:rPr>
        <w:rStyle w:val="40"/>
        <w:rFonts w:hAnsi="Times New Roman"/>
      </w:rPr>
    </w:pPr>
    <w:r>
      <w:rPr>
        <w:rStyle w:val="40"/>
      </w:rPr>
      <w:fldChar w:fldCharType="begin"/>
    </w:r>
    <w:r>
      <w:instrText xml:space="preserve">PAGE  \* MERGEFORMAT</w:instrText>
    </w:r>
    <w:r>
      <w:fldChar w:fldCharType="separate"/>
    </w:r>
    <w:r>
      <w:rPr>
        <w:rStyle w:val="40"/>
        <w:rFonts w:hAnsi="Times New Roman"/>
      </w:rPr>
      <w:t>- 1 -</w:t>
    </w:r>
    <w:r>
      <w:rPr>
        <w:rFonts w:hAnsi="Times New Roman"/>
      </w:rPr>
      <w:fldChar w:fldCharType="end"/>
    </w:r>
  </w:p>
  <w:p w14:paraId="15C058C5">
    <w:pPr>
      <w:pStyle w:val="23"/>
      <w:snapToGrid w:val="0"/>
      <w:spacing w:after="160"/>
      <w:jc w:val="left"/>
      <w:rPr>
        <w:rFonts w:hAnsi="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trackRevisions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yYzdhNWQ5ZjhlOWNjNGVmOTM1ODQ5NmJiMDg3MGMifQ=="/>
  </w:docVars>
  <w:rsids>
    <w:rsidRoot w:val="009358F9"/>
    <w:rsid w:val="000230B3"/>
    <w:rsid w:val="00093681"/>
    <w:rsid w:val="00097F9C"/>
    <w:rsid w:val="000E5EF7"/>
    <w:rsid w:val="00102B1B"/>
    <w:rsid w:val="00122B0A"/>
    <w:rsid w:val="00145921"/>
    <w:rsid w:val="00151183"/>
    <w:rsid w:val="00175EDE"/>
    <w:rsid w:val="00180731"/>
    <w:rsid w:val="0018077B"/>
    <w:rsid w:val="001D7F66"/>
    <w:rsid w:val="001E5258"/>
    <w:rsid w:val="0025179A"/>
    <w:rsid w:val="00254604"/>
    <w:rsid w:val="002E7295"/>
    <w:rsid w:val="002F7C39"/>
    <w:rsid w:val="00300A33"/>
    <w:rsid w:val="00323D76"/>
    <w:rsid w:val="00324AA1"/>
    <w:rsid w:val="003B3541"/>
    <w:rsid w:val="003D0E33"/>
    <w:rsid w:val="004136A5"/>
    <w:rsid w:val="00413CB8"/>
    <w:rsid w:val="00435760"/>
    <w:rsid w:val="004374DC"/>
    <w:rsid w:val="00444A8F"/>
    <w:rsid w:val="00476A98"/>
    <w:rsid w:val="004A4581"/>
    <w:rsid w:val="004D17F4"/>
    <w:rsid w:val="00562459"/>
    <w:rsid w:val="005A7FC7"/>
    <w:rsid w:val="005C4429"/>
    <w:rsid w:val="005C4BEC"/>
    <w:rsid w:val="005C7075"/>
    <w:rsid w:val="005E314D"/>
    <w:rsid w:val="005F074A"/>
    <w:rsid w:val="005F3A56"/>
    <w:rsid w:val="00623DAC"/>
    <w:rsid w:val="00641DDF"/>
    <w:rsid w:val="00644DE8"/>
    <w:rsid w:val="0068455F"/>
    <w:rsid w:val="00691337"/>
    <w:rsid w:val="006B0CD3"/>
    <w:rsid w:val="006C2ADF"/>
    <w:rsid w:val="006E148E"/>
    <w:rsid w:val="00720333"/>
    <w:rsid w:val="00750F62"/>
    <w:rsid w:val="00763912"/>
    <w:rsid w:val="007A481F"/>
    <w:rsid w:val="007E2BE3"/>
    <w:rsid w:val="00802C41"/>
    <w:rsid w:val="008465CE"/>
    <w:rsid w:val="008F1246"/>
    <w:rsid w:val="00916ECC"/>
    <w:rsid w:val="009358F9"/>
    <w:rsid w:val="00956DD1"/>
    <w:rsid w:val="0097324B"/>
    <w:rsid w:val="00985A17"/>
    <w:rsid w:val="009F063A"/>
    <w:rsid w:val="00A016FC"/>
    <w:rsid w:val="00A30D46"/>
    <w:rsid w:val="00A3275B"/>
    <w:rsid w:val="00A608FE"/>
    <w:rsid w:val="00A63116"/>
    <w:rsid w:val="00A66F60"/>
    <w:rsid w:val="00A67F92"/>
    <w:rsid w:val="00AC05EF"/>
    <w:rsid w:val="00B337E0"/>
    <w:rsid w:val="00B425B5"/>
    <w:rsid w:val="00B870E0"/>
    <w:rsid w:val="00B91559"/>
    <w:rsid w:val="00C26206"/>
    <w:rsid w:val="00C44EC0"/>
    <w:rsid w:val="00CA3E9F"/>
    <w:rsid w:val="00CA7B73"/>
    <w:rsid w:val="00CD554E"/>
    <w:rsid w:val="00CF2854"/>
    <w:rsid w:val="00CF4DAB"/>
    <w:rsid w:val="00D34036"/>
    <w:rsid w:val="00D506EF"/>
    <w:rsid w:val="00D76C28"/>
    <w:rsid w:val="00DB3CB9"/>
    <w:rsid w:val="00DB74BF"/>
    <w:rsid w:val="00E10DFD"/>
    <w:rsid w:val="00E11591"/>
    <w:rsid w:val="00E13EB7"/>
    <w:rsid w:val="00E14947"/>
    <w:rsid w:val="00E14FC6"/>
    <w:rsid w:val="00E41947"/>
    <w:rsid w:val="00E572FD"/>
    <w:rsid w:val="00E63A31"/>
    <w:rsid w:val="00E877F1"/>
    <w:rsid w:val="00EF5D7C"/>
    <w:rsid w:val="00EF7457"/>
    <w:rsid w:val="00EF745C"/>
    <w:rsid w:val="00F50A81"/>
    <w:rsid w:val="00F52A2F"/>
    <w:rsid w:val="00F75026"/>
    <w:rsid w:val="00F9770A"/>
    <w:rsid w:val="00FA46B3"/>
    <w:rsid w:val="00FD7126"/>
    <w:rsid w:val="00FE1A4E"/>
    <w:rsid w:val="021402A8"/>
    <w:rsid w:val="030F47C4"/>
    <w:rsid w:val="05446F1B"/>
    <w:rsid w:val="0652602C"/>
    <w:rsid w:val="070F706A"/>
    <w:rsid w:val="08FE6B4F"/>
    <w:rsid w:val="09FC0DF8"/>
    <w:rsid w:val="0EA31C46"/>
    <w:rsid w:val="123B1DD0"/>
    <w:rsid w:val="143C4972"/>
    <w:rsid w:val="148343A2"/>
    <w:rsid w:val="177A62A4"/>
    <w:rsid w:val="181044AB"/>
    <w:rsid w:val="1DB769B7"/>
    <w:rsid w:val="1E7A5590"/>
    <w:rsid w:val="1F340BC5"/>
    <w:rsid w:val="1F930615"/>
    <w:rsid w:val="20D66073"/>
    <w:rsid w:val="22F15655"/>
    <w:rsid w:val="239C6157"/>
    <w:rsid w:val="24D67C23"/>
    <w:rsid w:val="24F83AA5"/>
    <w:rsid w:val="25637AAA"/>
    <w:rsid w:val="27BF769D"/>
    <w:rsid w:val="2AE0232E"/>
    <w:rsid w:val="2AFE4549"/>
    <w:rsid w:val="2C8A6AC5"/>
    <w:rsid w:val="2EE13974"/>
    <w:rsid w:val="2F6340BA"/>
    <w:rsid w:val="371118B3"/>
    <w:rsid w:val="37880088"/>
    <w:rsid w:val="3DA866BE"/>
    <w:rsid w:val="3DDC1B22"/>
    <w:rsid w:val="3E2A5075"/>
    <w:rsid w:val="3E8028F8"/>
    <w:rsid w:val="3EC24F28"/>
    <w:rsid w:val="42A57680"/>
    <w:rsid w:val="43A24E13"/>
    <w:rsid w:val="455D38BF"/>
    <w:rsid w:val="457921D1"/>
    <w:rsid w:val="46D025A2"/>
    <w:rsid w:val="4B980694"/>
    <w:rsid w:val="4CFC3B3F"/>
    <w:rsid w:val="4D62543D"/>
    <w:rsid w:val="4DF164C2"/>
    <w:rsid w:val="516B7EF6"/>
    <w:rsid w:val="530E0849"/>
    <w:rsid w:val="5363203D"/>
    <w:rsid w:val="55132BC1"/>
    <w:rsid w:val="59CE1AB1"/>
    <w:rsid w:val="5AB04022"/>
    <w:rsid w:val="5B8C6F1A"/>
    <w:rsid w:val="5B8D1862"/>
    <w:rsid w:val="5CFF4000"/>
    <w:rsid w:val="5D33464C"/>
    <w:rsid w:val="5FE24FD3"/>
    <w:rsid w:val="640E6DC8"/>
    <w:rsid w:val="6484660C"/>
    <w:rsid w:val="65E827E1"/>
    <w:rsid w:val="66DD7763"/>
    <w:rsid w:val="6BB842BD"/>
    <w:rsid w:val="6BF20DB5"/>
    <w:rsid w:val="6C810711"/>
    <w:rsid w:val="6CB61EF6"/>
    <w:rsid w:val="6D2D3D05"/>
    <w:rsid w:val="6DF02F00"/>
    <w:rsid w:val="6EFB1DF6"/>
    <w:rsid w:val="6F6F61EB"/>
    <w:rsid w:val="70E021FB"/>
    <w:rsid w:val="715266AC"/>
    <w:rsid w:val="71D624A7"/>
    <w:rsid w:val="74137CFF"/>
    <w:rsid w:val="76173BF7"/>
    <w:rsid w:val="76700314"/>
    <w:rsid w:val="784C3D24"/>
    <w:rsid w:val="78F973F9"/>
    <w:rsid w:val="79C02D9E"/>
    <w:rsid w:val="7A2335C6"/>
    <w:rsid w:val="7B386C9D"/>
    <w:rsid w:val="7B9503FB"/>
    <w:rsid w:val="7BAB4414"/>
    <w:rsid w:val="7BE17810"/>
    <w:rsid w:val="7F3F7E98"/>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0" w:semiHidden="0" w:name="Strong"/>
    <w:lsdException w:qFormat="1" w:unhideWhenUsed="0" w:uiPriority="18"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Times New Roman" w:cs="Times New Roman"/>
      <w:sz w:val="21"/>
      <w:szCs w:val="21"/>
      <w:lang w:val="en-US" w:eastAsia="zh-CN" w:bidi="ar-SA"/>
    </w:rPr>
  </w:style>
  <w:style w:type="paragraph" w:styleId="2">
    <w:name w:val="heading 1"/>
    <w:basedOn w:val="1"/>
    <w:next w:val="1"/>
    <w:link w:val="58"/>
    <w:qFormat/>
    <w:uiPriority w:val="7"/>
    <w:pPr>
      <w:jc w:val="center"/>
      <w:outlineLvl w:val="0"/>
    </w:pPr>
    <w:rPr>
      <w:rFonts w:ascii="方正小标宋简体" w:hAnsi="方正小标宋简体" w:eastAsia="方正小标宋简体"/>
      <w:b/>
      <w:sz w:val="36"/>
      <w:szCs w:val="36"/>
    </w:rPr>
  </w:style>
  <w:style w:type="paragraph" w:styleId="3">
    <w:name w:val="heading 2"/>
    <w:next w:val="1"/>
    <w:qFormat/>
    <w:uiPriority w:val="8"/>
    <w:pPr>
      <w:jc w:val="both"/>
      <w:outlineLvl w:val="1"/>
    </w:pPr>
    <w:rPr>
      <w:rFonts w:ascii="Calibri" w:hAnsi="Calibri" w:eastAsia="宋体" w:cs="Times New Roman"/>
      <w:sz w:val="21"/>
      <w:szCs w:val="21"/>
      <w:lang w:val="en-US" w:eastAsia="zh-CN" w:bidi="ar-SA"/>
    </w:rPr>
  </w:style>
  <w:style w:type="paragraph" w:styleId="4">
    <w:name w:val="heading 3"/>
    <w:next w:val="1"/>
    <w:qFormat/>
    <w:uiPriority w:val="9"/>
    <w:pPr>
      <w:ind w:left="1000" w:hanging="400"/>
      <w:jc w:val="both"/>
      <w:outlineLvl w:val="2"/>
    </w:pPr>
    <w:rPr>
      <w:rFonts w:ascii="Calibri" w:hAnsi="Calibri" w:eastAsia="宋体" w:cs="Times New Roman"/>
      <w:sz w:val="21"/>
      <w:szCs w:val="21"/>
      <w:lang w:val="en-US" w:eastAsia="zh-CN" w:bidi="ar-SA"/>
    </w:rPr>
  </w:style>
  <w:style w:type="paragraph" w:styleId="5">
    <w:name w:val="heading 4"/>
    <w:next w:val="1"/>
    <w:qFormat/>
    <w:uiPriority w:val="10"/>
    <w:pPr>
      <w:ind w:left="1200" w:hanging="400"/>
      <w:jc w:val="both"/>
      <w:outlineLvl w:val="3"/>
    </w:pPr>
    <w:rPr>
      <w:rFonts w:ascii="Calibri" w:hAnsi="Calibri" w:eastAsia="宋体" w:cs="Times New Roman"/>
      <w:b/>
      <w:sz w:val="21"/>
      <w:szCs w:val="21"/>
      <w:lang w:val="en-US" w:eastAsia="zh-CN" w:bidi="ar-SA"/>
    </w:rPr>
  </w:style>
  <w:style w:type="paragraph" w:styleId="6">
    <w:name w:val="heading 5"/>
    <w:next w:val="1"/>
    <w:qFormat/>
    <w:uiPriority w:val="11"/>
    <w:pPr>
      <w:ind w:left="1400" w:hanging="400"/>
      <w:jc w:val="both"/>
      <w:outlineLvl w:val="4"/>
    </w:pPr>
    <w:rPr>
      <w:rFonts w:ascii="Calibri" w:hAnsi="Calibri" w:eastAsia="宋体" w:cs="Times New Roman"/>
      <w:sz w:val="21"/>
      <w:szCs w:val="21"/>
      <w:lang w:val="en-US" w:eastAsia="zh-CN" w:bidi="ar-SA"/>
    </w:rPr>
  </w:style>
  <w:style w:type="paragraph" w:styleId="7">
    <w:name w:val="heading 6"/>
    <w:next w:val="1"/>
    <w:qFormat/>
    <w:uiPriority w:val="12"/>
    <w:pPr>
      <w:ind w:left="1600" w:hanging="400"/>
      <w:jc w:val="both"/>
      <w:outlineLvl w:val="5"/>
    </w:pPr>
    <w:rPr>
      <w:rFonts w:ascii="Calibri" w:hAnsi="Calibri" w:eastAsia="宋体" w:cs="Times New Roman"/>
      <w:b/>
      <w:sz w:val="21"/>
      <w:szCs w:val="21"/>
      <w:lang w:val="en-US" w:eastAsia="zh-CN" w:bidi="ar-SA"/>
    </w:rPr>
  </w:style>
  <w:style w:type="paragraph" w:styleId="8">
    <w:name w:val="heading 7"/>
    <w:next w:val="1"/>
    <w:qFormat/>
    <w:uiPriority w:val="13"/>
    <w:pPr>
      <w:ind w:left="1800" w:hanging="400"/>
      <w:jc w:val="both"/>
      <w:outlineLvl w:val="6"/>
    </w:pPr>
    <w:rPr>
      <w:rFonts w:ascii="Calibri" w:hAnsi="Calibri" w:eastAsia="宋体" w:cs="Times New Roman"/>
      <w:sz w:val="21"/>
      <w:szCs w:val="21"/>
      <w:lang w:val="en-US" w:eastAsia="zh-CN" w:bidi="ar-SA"/>
    </w:rPr>
  </w:style>
  <w:style w:type="paragraph" w:styleId="9">
    <w:name w:val="heading 8"/>
    <w:next w:val="1"/>
    <w:qFormat/>
    <w:uiPriority w:val="14"/>
    <w:pPr>
      <w:ind w:left="2000" w:hanging="400"/>
      <w:jc w:val="both"/>
      <w:outlineLvl w:val="7"/>
    </w:pPr>
    <w:rPr>
      <w:rFonts w:ascii="Calibri" w:hAnsi="Calibri" w:eastAsia="宋体" w:cs="Times New Roman"/>
      <w:sz w:val="21"/>
      <w:szCs w:val="21"/>
      <w:lang w:val="en-US" w:eastAsia="zh-CN" w:bidi="ar-SA"/>
    </w:rPr>
  </w:style>
  <w:style w:type="paragraph" w:styleId="10">
    <w:name w:val="heading 9"/>
    <w:next w:val="1"/>
    <w:qFormat/>
    <w:uiPriority w:val="15"/>
    <w:pPr>
      <w:ind w:left="2200" w:hanging="400"/>
      <w:jc w:val="both"/>
      <w:outlineLvl w:val="8"/>
    </w:pPr>
    <w:rPr>
      <w:rFonts w:ascii="Calibri" w:hAnsi="Calibri" w:eastAsia="宋体" w:cs="Times New Roman"/>
      <w:sz w:val="21"/>
      <w:szCs w:val="21"/>
      <w:lang w:val="en-US" w:eastAsia="zh-CN" w:bidi="ar-SA"/>
    </w:rPr>
  </w:style>
  <w:style w:type="character" w:default="1" w:styleId="38">
    <w:name w:val="Default Paragraph Font"/>
    <w:semiHidden/>
    <w:unhideWhenUsed/>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Calibri" w:hAnsi="Calibri" w:eastAsia="宋体" w:cs="Times New Roman"/>
      <w:sz w:val="21"/>
      <w:szCs w:val="21"/>
      <w:lang w:val="en-US" w:eastAsia="zh-CN" w:bidi="ar-SA"/>
    </w:rPr>
  </w:style>
  <w:style w:type="paragraph" w:styleId="12">
    <w:name w:val="annotation text"/>
    <w:basedOn w:val="1"/>
    <w:link w:val="64"/>
    <w:qFormat/>
    <w:uiPriority w:val="0"/>
  </w:style>
  <w:style w:type="paragraph" w:styleId="13">
    <w:name w:val="Body Text 3"/>
    <w:basedOn w:val="1"/>
    <w:qFormat/>
    <w:uiPriority w:val="0"/>
    <w:rPr>
      <w:rFonts w:ascii="宋体" w:hAnsi="宋体" w:eastAsia="仿宋_GB2312"/>
      <w:sz w:val="32"/>
      <w:szCs w:val="32"/>
    </w:rPr>
  </w:style>
  <w:style w:type="paragraph" w:styleId="14">
    <w:name w:val="Body Text"/>
    <w:basedOn w:val="1"/>
    <w:qFormat/>
    <w:uiPriority w:val="0"/>
    <w:rPr>
      <w:rFonts w:ascii="楷体_GB2312" w:hAnsi="楷体_GB2312" w:eastAsia="楷体_GB2312"/>
      <w:sz w:val="30"/>
      <w:szCs w:val="30"/>
    </w:rPr>
  </w:style>
  <w:style w:type="paragraph" w:styleId="15">
    <w:name w:val="Body Text Indent"/>
    <w:basedOn w:val="1"/>
    <w:qFormat/>
    <w:uiPriority w:val="0"/>
    <w:pPr>
      <w:ind w:firstLine="640"/>
    </w:pPr>
    <w:rPr>
      <w:sz w:val="32"/>
      <w:szCs w:val="32"/>
    </w:rPr>
  </w:style>
  <w:style w:type="paragraph" w:styleId="16">
    <w:name w:val="toc 5"/>
    <w:next w:val="1"/>
    <w:unhideWhenUsed/>
    <w:qFormat/>
    <w:uiPriority w:val="32"/>
    <w:pPr>
      <w:ind w:left="1700"/>
      <w:jc w:val="both"/>
    </w:pPr>
    <w:rPr>
      <w:rFonts w:ascii="Calibri" w:hAnsi="Calibri" w:eastAsia="宋体" w:cs="Times New Roman"/>
      <w:sz w:val="21"/>
      <w:szCs w:val="21"/>
      <w:lang w:val="en-US" w:eastAsia="zh-CN" w:bidi="ar-SA"/>
    </w:rPr>
  </w:style>
  <w:style w:type="paragraph" w:styleId="17">
    <w:name w:val="toc 3"/>
    <w:next w:val="1"/>
    <w:unhideWhenUsed/>
    <w:qFormat/>
    <w:uiPriority w:val="30"/>
    <w:pPr>
      <w:ind w:left="850"/>
      <w:jc w:val="both"/>
    </w:pPr>
    <w:rPr>
      <w:rFonts w:ascii="Calibri" w:hAnsi="Calibri" w:eastAsia="宋体" w:cs="Times New Roman"/>
      <w:sz w:val="21"/>
      <w:szCs w:val="21"/>
      <w:lang w:val="en-US" w:eastAsia="zh-CN" w:bidi="ar-SA"/>
    </w:rPr>
  </w:style>
  <w:style w:type="paragraph" w:styleId="18">
    <w:name w:val="Plain Text"/>
    <w:basedOn w:val="1"/>
    <w:qFormat/>
    <w:uiPriority w:val="0"/>
    <w:rPr>
      <w:rFonts w:ascii="宋体" w:hAnsi="宋体" w:eastAsia="Courier New"/>
      <w:sz w:val="20"/>
      <w:szCs w:val="20"/>
    </w:rPr>
  </w:style>
  <w:style w:type="paragraph" w:styleId="19">
    <w:name w:val="toc 8"/>
    <w:next w:val="1"/>
    <w:unhideWhenUsed/>
    <w:qFormat/>
    <w:uiPriority w:val="35"/>
    <w:pPr>
      <w:ind w:left="2975"/>
      <w:jc w:val="both"/>
    </w:pPr>
    <w:rPr>
      <w:rFonts w:ascii="Calibri" w:hAnsi="Calibri" w:eastAsia="宋体" w:cs="Times New Roman"/>
      <w:sz w:val="21"/>
      <w:szCs w:val="21"/>
      <w:lang w:val="en-US" w:eastAsia="zh-CN" w:bidi="ar-SA"/>
    </w:rPr>
  </w:style>
  <w:style w:type="paragraph" w:styleId="20">
    <w:name w:val="Date"/>
    <w:basedOn w:val="1"/>
    <w:next w:val="1"/>
    <w:qFormat/>
    <w:uiPriority w:val="0"/>
    <w:rPr>
      <w:rFonts w:ascii="仿宋_GB2312" w:hAnsi="仿宋_GB2312" w:eastAsia="仿宋_GB2312"/>
      <w:sz w:val="28"/>
      <w:szCs w:val="28"/>
    </w:rPr>
  </w:style>
  <w:style w:type="paragraph" w:styleId="21">
    <w:name w:val="Body Text Indent 2"/>
    <w:basedOn w:val="1"/>
    <w:qFormat/>
    <w:uiPriority w:val="0"/>
    <w:pPr>
      <w:ind w:firstLine="600"/>
    </w:pPr>
    <w:rPr>
      <w:rFonts w:ascii="仿宋_GB2312" w:hAnsi="仿宋_GB2312" w:eastAsia="仿宋_GB2312"/>
      <w:sz w:val="30"/>
      <w:szCs w:val="30"/>
    </w:rPr>
  </w:style>
  <w:style w:type="paragraph" w:styleId="22">
    <w:name w:val="Balloon Text"/>
    <w:basedOn w:val="1"/>
    <w:link w:val="57"/>
    <w:qFormat/>
    <w:uiPriority w:val="0"/>
    <w:rPr>
      <w:sz w:val="18"/>
      <w:szCs w:val="18"/>
    </w:rPr>
  </w:style>
  <w:style w:type="paragraph" w:styleId="23">
    <w:name w:val="footer"/>
    <w:basedOn w:val="1"/>
    <w:link w:val="56"/>
    <w:qFormat/>
    <w:uiPriority w:val="0"/>
    <w:pPr>
      <w:tabs>
        <w:tab w:val="center" w:pos="4153"/>
        <w:tab w:val="right" w:pos="8306"/>
      </w:tabs>
    </w:pPr>
    <w:rPr>
      <w:sz w:val="18"/>
      <w:szCs w:val="18"/>
    </w:rPr>
  </w:style>
  <w:style w:type="paragraph" w:styleId="24">
    <w:name w:val="header"/>
    <w:basedOn w:val="1"/>
    <w:link w:val="55"/>
    <w:qFormat/>
    <w:uiPriority w:val="0"/>
    <w:pPr>
      <w:tabs>
        <w:tab w:val="center" w:pos="4153"/>
        <w:tab w:val="right" w:pos="8306"/>
      </w:tabs>
      <w:jc w:val="center"/>
    </w:pPr>
    <w:rPr>
      <w:sz w:val="18"/>
      <w:szCs w:val="18"/>
    </w:rPr>
  </w:style>
  <w:style w:type="paragraph" w:styleId="25">
    <w:name w:val="toc 1"/>
    <w:next w:val="1"/>
    <w:unhideWhenUsed/>
    <w:qFormat/>
    <w:uiPriority w:val="28"/>
    <w:pPr>
      <w:jc w:val="both"/>
    </w:pPr>
    <w:rPr>
      <w:rFonts w:ascii="Calibri" w:hAnsi="Calibri" w:eastAsia="宋体" w:cs="Times New Roman"/>
      <w:sz w:val="21"/>
      <w:szCs w:val="21"/>
      <w:lang w:val="en-US" w:eastAsia="zh-CN" w:bidi="ar-SA"/>
    </w:rPr>
  </w:style>
  <w:style w:type="paragraph" w:styleId="26">
    <w:name w:val="toc 4"/>
    <w:next w:val="1"/>
    <w:unhideWhenUsed/>
    <w:qFormat/>
    <w:uiPriority w:val="31"/>
    <w:pPr>
      <w:ind w:left="1275"/>
      <w:jc w:val="both"/>
    </w:pPr>
    <w:rPr>
      <w:rFonts w:ascii="Calibri" w:hAnsi="Calibri" w:eastAsia="宋体" w:cs="Times New Roman"/>
      <w:sz w:val="21"/>
      <w:szCs w:val="21"/>
      <w:lang w:val="en-US" w:eastAsia="zh-CN" w:bidi="ar-SA"/>
    </w:rPr>
  </w:style>
  <w:style w:type="paragraph" w:styleId="27">
    <w:name w:val="Subtitle"/>
    <w:qFormat/>
    <w:uiPriority w:val="16"/>
    <w:pPr>
      <w:jc w:val="center"/>
    </w:pPr>
    <w:rPr>
      <w:rFonts w:ascii="Calibri" w:hAnsi="Calibri" w:eastAsia="宋体" w:cs="Times New Roman"/>
      <w:sz w:val="24"/>
      <w:szCs w:val="24"/>
      <w:lang w:val="en-US" w:eastAsia="zh-CN" w:bidi="ar-SA"/>
    </w:rPr>
  </w:style>
  <w:style w:type="paragraph" w:styleId="28">
    <w:name w:val="toc 6"/>
    <w:next w:val="1"/>
    <w:unhideWhenUsed/>
    <w:qFormat/>
    <w:uiPriority w:val="33"/>
    <w:pPr>
      <w:ind w:left="2125"/>
      <w:jc w:val="both"/>
    </w:pPr>
    <w:rPr>
      <w:rFonts w:ascii="Calibri" w:hAnsi="Calibri" w:eastAsia="宋体" w:cs="Times New Roman"/>
      <w:sz w:val="21"/>
      <w:szCs w:val="21"/>
      <w:lang w:val="en-US" w:eastAsia="zh-CN" w:bidi="ar-SA"/>
    </w:rPr>
  </w:style>
  <w:style w:type="paragraph" w:styleId="29">
    <w:name w:val="Body Text Indent 3"/>
    <w:basedOn w:val="1"/>
    <w:qFormat/>
    <w:uiPriority w:val="0"/>
    <w:pPr>
      <w:ind w:firstLine="510"/>
    </w:pPr>
    <w:rPr>
      <w:rFonts w:ascii="宋体" w:hAnsi="宋体" w:eastAsia="宋体"/>
      <w:sz w:val="24"/>
      <w:szCs w:val="24"/>
    </w:rPr>
  </w:style>
  <w:style w:type="paragraph" w:styleId="30">
    <w:name w:val="toc 2"/>
    <w:next w:val="1"/>
    <w:unhideWhenUsed/>
    <w:qFormat/>
    <w:uiPriority w:val="29"/>
    <w:pPr>
      <w:ind w:left="425"/>
      <w:jc w:val="both"/>
    </w:pPr>
    <w:rPr>
      <w:rFonts w:ascii="Calibri" w:hAnsi="Calibri" w:eastAsia="宋体" w:cs="Times New Roman"/>
      <w:sz w:val="21"/>
      <w:szCs w:val="21"/>
      <w:lang w:val="en-US" w:eastAsia="zh-CN" w:bidi="ar-SA"/>
    </w:rPr>
  </w:style>
  <w:style w:type="paragraph" w:styleId="31">
    <w:name w:val="toc 9"/>
    <w:next w:val="1"/>
    <w:unhideWhenUsed/>
    <w:qFormat/>
    <w:uiPriority w:val="36"/>
    <w:pPr>
      <w:ind w:left="3400"/>
      <w:jc w:val="both"/>
    </w:pPr>
    <w:rPr>
      <w:rFonts w:ascii="Calibri" w:hAnsi="Calibri" w:eastAsia="宋体" w:cs="Times New Roman"/>
      <w:sz w:val="21"/>
      <w:szCs w:val="21"/>
      <w:lang w:val="en-US" w:eastAsia="zh-CN" w:bidi="ar-SA"/>
    </w:rPr>
  </w:style>
  <w:style w:type="paragraph" w:styleId="32">
    <w:name w:val="Body Text 2"/>
    <w:basedOn w:val="1"/>
    <w:qFormat/>
    <w:uiPriority w:val="0"/>
    <w:pPr>
      <w:jc w:val="center"/>
    </w:pPr>
    <w:rPr>
      <w:rFonts w:ascii="宋体" w:hAnsi="宋体" w:eastAsia="方正小标宋简体"/>
      <w:sz w:val="44"/>
      <w:szCs w:val="44"/>
    </w:rPr>
  </w:style>
  <w:style w:type="paragraph" w:styleId="33">
    <w:name w:val="Normal (Web)"/>
    <w:basedOn w:val="1"/>
    <w:qFormat/>
    <w:uiPriority w:val="0"/>
    <w:rPr>
      <w:rFonts w:ascii="Arial Unicode MS" w:hAnsi="Arial Unicode MS" w:eastAsia="Arial Unicode MS"/>
      <w:sz w:val="24"/>
      <w:szCs w:val="24"/>
    </w:rPr>
  </w:style>
  <w:style w:type="paragraph" w:styleId="34">
    <w:name w:val="Title"/>
    <w:basedOn w:val="1"/>
    <w:next w:val="1"/>
    <w:qFormat/>
    <w:uiPriority w:val="6"/>
    <w:pPr>
      <w:jc w:val="center"/>
    </w:pPr>
    <w:rPr>
      <w:rFonts w:ascii="等线 Light" w:hAnsi="等线 Light" w:eastAsia="等线 Light"/>
      <w:b/>
      <w:sz w:val="32"/>
      <w:szCs w:val="32"/>
    </w:rPr>
  </w:style>
  <w:style w:type="paragraph" w:styleId="35">
    <w:name w:val="annotation subject"/>
    <w:basedOn w:val="12"/>
    <w:next w:val="12"/>
    <w:link w:val="65"/>
    <w:semiHidden/>
    <w:unhideWhenUsed/>
    <w:qFormat/>
    <w:uiPriority w:val="99"/>
    <w:pPr>
      <w:jc w:val="left"/>
    </w:pPr>
    <w:rPr>
      <w:b/>
      <w:bCs/>
    </w:rPr>
  </w:style>
  <w:style w:type="table" w:styleId="37">
    <w:name w:val="Table Grid"/>
    <w:basedOn w:val="36"/>
    <w:qFormat/>
    <w:uiPriority w:val="38"/>
    <w:rPr>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0"/>
    <w:rPr>
      <w:b/>
      <w:w w:val="100"/>
      <w:sz w:val="20"/>
      <w:szCs w:val="20"/>
      <w:shd w:val="clear" w:color="auto" w:fill="auto"/>
    </w:rPr>
  </w:style>
  <w:style w:type="character" w:styleId="40">
    <w:name w:val="page number"/>
    <w:basedOn w:val="38"/>
    <w:qFormat/>
    <w:uiPriority w:val="0"/>
  </w:style>
  <w:style w:type="character" w:styleId="41">
    <w:name w:val="FollowedHyperlink"/>
    <w:qFormat/>
    <w:uiPriority w:val="0"/>
    <w:rPr>
      <w:color w:val="800080"/>
      <w:w w:val="100"/>
      <w:sz w:val="20"/>
      <w:szCs w:val="20"/>
      <w:u w:val="single"/>
      <w:shd w:val="clear" w:color="auto" w:fill="auto"/>
    </w:rPr>
  </w:style>
  <w:style w:type="character" w:styleId="42">
    <w:name w:val="Emphasis"/>
    <w:qFormat/>
    <w:uiPriority w:val="18"/>
    <w:rPr>
      <w:i/>
      <w:w w:val="100"/>
      <w:sz w:val="21"/>
      <w:szCs w:val="21"/>
      <w:shd w:val="clear" w:color="auto" w:fill="auto"/>
    </w:rPr>
  </w:style>
  <w:style w:type="character" w:styleId="43">
    <w:name w:val="Hyperlink"/>
    <w:qFormat/>
    <w:uiPriority w:val="0"/>
    <w:rPr>
      <w:color w:val="0000FF"/>
      <w:w w:val="100"/>
      <w:sz w:val="20"/>
      <w:szCs w:val="20"/>
      <w:u w:val="single"/>
      <w:shd w:val="clear" w:color="auto" w:fill="auto"/>
    </w:rPr>
  </w:style>
  <w:style w:type="character" w:styleId="44">
    <w:name w:val="annotation reference"/>
    <w:qFormat/>
    <w:uiPriority w:val="0"/>
    <w:rPr>
      <w:w w:val="100"/>
      <w:sz w:val="21"/>
      <w:szCs w:val="21"/>
      <w:shd w:val="clear" w:color="auto" w:fill="auto"/>
    </w:rPr>
  </w:style>
  <w:style w:type="paragraph" w:styleId="45">
    <w:name w:val="No Spacing"/>
    <w:qFormat/>
    <w:uiPriority w:val="5"/>
    <w:pPr>
      <w:jc w:val="both"/>
    </w:pPr>
    <w:rPr>
      <w:rFonts w:ascii="Calibri" w:hAnsi="Calibri" w:eastAsia="宋体" w:cs="Times New Roman"/>
      <w:sz w:val="21"/>
      <w:szCs w:val="21"/>
      <w:lang w:val="en-US" w:eastAsia="zh-CN" w:bidi="ar-SA"/>
    </w:rPr>
  </w:style>
  <w:style w:type="character" w:customStyle="1" w:styleId="46">
    <w:name w:val="不明显强调1"/>
    <w:qFormat/>
    <w:uiPriority w:val="17"/>
    <w:rPr>
      <w:i/>
      <w:color w:val="404040"/>
      <w:w w:val="100"/>
      <w:sz w:val="21"/>
      <w:szCs w:val="21"/>
      <w:shd w:val="clear" w:color="auto" w:fill="auto"/>
    </w:rPr>
  </w:style>
  <w:style w:type="character" w:customStyle="1" w:styleId="47">
    <w:name w:val="明显强调1"/>
    <w:qFormat/>
    <w:uiPriority w:val="19"/>
    <w:rPr>
      <w:i/>
      <w:color w:val="5B9BD5"/>
      <w:w w:val="100"/>
      <w:sz w:val="21"/>
      <w:szCs w:val="21"/>
      <w:shd w:val="clear" w:color="auto" w:fill="auto"/>
    </w:rPr>
  </w:style>
  <w:style w:type="paragraph" w:styleId="48">
    <w:name w:val="Quote"/>
    <w:qFormat/>
    <w:uiPriority w:val="21"/>
    <w:pPr>
      <w:ind w:left="864" w:right="864"/>
      <w:jc w:val="center"/>
    </w:pPr>
    <w:rPr>
      <w:rFonts w:ascii="Calibri" w:hAnsi="Calibri" w:eastAsia="宋体" w:cs="Times New Roman"/>
      <w:i/>
      <w:color w:val="404040"/>
      <w:sz w:val="21"/>
      <w:szCs w:val="21"/>
      <w:lang w:val="en-US" w:eastAsia="zh-CN" w:bidi="ar-SA"/>
    </w:rPr>
  </w:style>
  <w:style w:type="paragraph" w:styleId="49">
    <w:name w:val="Intense Quote"/>
    <w:qFormat/>
    <w:uiPriority w:val="22"/>
    <w:pPr>
      <w:ind w:left="950" w:right="950"/>
      <w:jc w:val="center"/>
    </w:pPr>
    <w:rPr>
      <w:rFonts w:ascii="Calibri" w:hAnsi="Calibri" w:eastAsia="宋体" w:cs="Times New Roman"/>
      <w:i/>
      <w:color w:val="5B9BD5"/>
      <w:sz w:val="21"/>
      <w:szCs w:val="21"/>
      <w:lang w:val="en-US" w:eastAsia="zh-CN" w:bidi="ar-SA"/>
    </w:rPr>
  </w:style>
  <w:style w:type="character" w:customStyle="1" w:styleId="50">
    <w:name w:val="不明显参考1"/>
    <w:qFormat/>
    <w:uiPriority w:val="23"/>
    <w:rPr>
      <w:smallCaps/>
      <w:color w:val="5A5A5A"/>
      <w:w w:val="100"/>
      <w:sz w:val="21"/>
      <w:szCs w:val="21"/>
      <w:shd w:val="clear" w:color="auto" w:fill="auto"/>
    </w:rPr>
  </w:style>
  <w:style w:type="character" w:customStyle="1" w:styleId="51">
    <w:name w:val="明显参考1"/>
    <w:qFormat/>
    <w:uiPriority w:val="24"/>
    <w:rPr>
      <w:b/>
      <w:smallCaps/>
      <w:color w:val="5B9BD5"/>
      <w:w w:val="100"/>
      <w:sz w:val="21"/>
      <w:szCs w:val="21"/>
      <w:shd w:val="clear" w:color="auto" w:fill="auto"/>
    </w:rPr>
  </w:style>
  <w:style w:type="character" w:customStyle="1" w:styleId="52">
    <w:name w:val="书籍标题1"/>
    <w:qFormat/>
    <w:uiPriority w:val="25"/>
    <w:rPr>
      <w:b/>
      <w:i/>
      <w:w w:val="100"/>
      <w:sz w:val="21"/>
      <w:szCs w:val="21"/>
      <w:shd w:val="clear" w:color="auto" w:fill="auto"/>
    </w:rPr>
  </w:style>
  <w:style w:type="paragraph" w:styleId="53">
    <w:name w:val="List Paragraph"/>
    <w:basedOn w:val="1"/>
    <w:qFormat/>
    <w:uiPriority w:val="26"/>
    <w:pPr>
      <w:ind w:firstLine="420"/>
    </w:pPr>
    <w:rPr>
      <w:sz w:val="20"/>
      <w:szCs w:val="20"/>
    </w:rPr>
  </w:style>
  <w:style w:type="paragraph" w:customStyle="1" w:styleId="54">
    <w:name w:val="TOC 标题1"/>
    <w:unhideWhenUsed/>
    <w:qFormat/>
    <w:uiPriority w:val="27"/>
    <w:rPr>
      <w:rFonts w:ascii="Calibri" w:hAnsi="Calibri" w:eastAsia="宋体" w:cs="Times New Roman"/>
      <w:color w:val="2E74B5"/>
      <w:sz w:val="32"/>
      <w:szCs w:val="32"/>
      <w:lang w:val="en-US" w:eastAsia="zh-CN" w:bidi="ar-SA"/>
    </w:rPr>
  </w:style>
  <w:style w:type="character" w:customStyle="1" w:styleId="55">
    <w:name w:val="页眉 Char"/>
    <w:link w:val="24"/>
    <w:qFormat/>
    <w:uiPriority w:val="0"/>
    <w:rPr>
      <w:w w:val="100"/>
      <w:sz w:val="18"/>
      <w:szCs w:val="18"/>
      <w:shd w:val="clear" w:color="auto" w:fill="auto"/>
    </w:rPr>
  </w:style>
  <w:style w:type="character" w:customStyle="1" w:styleId="56">
    <w:name w:val="页脚 Char"/>
    <w:link w:val="23"/>
    <w:qFormat/>
    <w:uiPriority w:val="0"/>
    <w:rPr>
      <w:w w:val="100"/>
      <w:sz w:val="18"/>
      <w:szCs w:val="18"/>
      <w:shd w:val="clear" w:color="auto" w:fill="auto"/>
    </w:rPr>
  </w:style>
  <w:style w:type="character" w:customStyle="1" w:styleId="57">
    <w:name w:val="批注框文本 Char"/>
    <w:link w:val="22"/>
    <w:qFormat/>
    <w:uiPriority w:val="0"/>
    <w:rPr>
      <w:w w:val="100"/>
      <w:sz w:val="18"/>
      <w:szCs w:val="18"/>
      <w:shd w:val="clear" w:color="auto" w:fill="auto"/>
    </w:rPr>
  </w:style>
  <w:style w:type="character" w:customStyle="1" w:styleId="58">
    <w:name w:val="标题 1 Char"/>
    <w:link w:val="2"/>
    <w:qFormat/>
    <w:uiPriority w:val="0"/>
    <w:rPr>
      <w:rFonts w:ascii="方正小标宋简体" w:hAnsi="方正小标宋简体" w:eastAsia="方正小标宋简体"/>
      <w:b/>
      <w:w w:val="100"/>
      <w:sz w:val="36"/>
      <w:szCs w:val="36"/>
      <w:shd w:val="clear" w:color="auto" w:fill="auto"/>
    </w:rPr>
  </w:style>
  <w:style w:type="character" w:customStyle="1" w:styleId="59">
    <w:name w:val="msobodytext"/>
    <w:qFormat/>
    <w:uiPriority w:val="0"/>
    <w:rPr>
      <w:rFonts w:ascii="宋体" w:hAnsi="宋体" w:eastAsia="宋体"/>
      <w:w w:val="100"/>
      <w:sz w:val="24"/>
      <w:szCs w:val="24"/>
      <w:shd w:val="clear" w:color="auto" w:fill="auto"/>
    </w:rPr>
  </w:style>
  <w:style w:type="character" w:customStyle="1" w:styleId="60">
    <w:name w:val="gensmall"/>
    <w:basedOn w:val="38"/>
    <w:qFormat/>
    <w:uiPriority w:val="0"/>
  </w:style>
  <w:style w:type="paragraph" w:customStyle="1" w:styleId="61">
    <w:name w:val="xl28"/>
    <w:basedOn w:val="1"/>
    <w:qFormat/>
    <w:uiPriority w:val="0"/>
    <w:pPr>
      <w:jc w:val="center"/>
    </w:pPr>
    <w:rPr>
      <w:rFonts w:ascii="楷体_GB2312" w:hAnsi="楷体_GB2312" w:eastAsia="Arial Unicode MS"/>
      <w:b/>
      <w:sz w:val="28"/>
      <w:szCs w:val="28"/>
    </w:rPr>
  </w:style>
  <w:style w:type="paragraph" w:customStyle="1" w:styleId="62">
    <w:name w:val="正文1"/>
    <w:basedOn w:val="1"/>
    <w:qFormat/>
    <w:uiPriority w:val="0"/>
    <w:rPr>
      <w:rFonts w:ascii="宋体" w:hAnsi="宋体" w:eastAsia="Arial Unicode MS"/>
      <w:sz w:val="20"/>
      <w:szCs w:val="20"/>
    </w:rPr>
  </w:style>
  <w:style w:type="paragraph" w:customStyle="1" w:styleId="63">
    <w:name w:val="msolistparagraph"/>
    <w:basedOn w:val="1"/>
    <w:qFormat/>
    <w:uiPriority w:val="0"/>
    <w:pPr>
      <w:ind w:firstLine="420"/>
    </w:pPr>
    <w:rPr>
      <w:sz w:val="20"/>
      <w:szCs w:val="20"/>
    </w:rPr>
  </w:style>
  <w:style w:type="character" w:customStyle="1" w:styleId="64">
    <w:name w:val="批注文字 Char"/>
    <w:basedOn w:val="38"/>
    <w:link w:val="12"/>
    <w:qFormat/>
    <w:uiPriority w:val="0"/>
    <w:rPr>
      <w:rFonts w:eastAsia="Times New Roman"/>
      <w:sz w:val="21"/>
      <w:szCs w:val="21"/>
    </w:rPr>
  </w:style>
  <w:style w:type="character" w:customStyle="1" w:styleId="65">
    <w:name w:val="批注主题 Char"/>
    <w:basedOn w:val="64"/>
    <w:link w:val="35"/>
    <w:semiHidden/>
    <w:qFormat/>
    <w:uiPriority w:val="99"/>
    <w:rPr>
      <w:rFonts w:eastAsia="Times New Roman"/>
      <w:b/>
      <w:bCs/>
      <w:sz w:val="21"/>
      <w:szCs w:val="21"/>
    </w:rPr>
  </w:style>
  <w:style w:type="paragraph" w:customStyle="1" w:styleId="66">
    <w:name w:val="修订1"/>
    <w:hidden/>
    <w:semiHidden/>
    <w:qFormat/>
    <w:uiPriority w:val="99"/>
    <w:rPr>
      <w:rFonts w:ascii="Calibri" w:hAnsi="Calibri" w:eastAsia="Times New Roman" w:cs="Times New Roman"/>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120265-9EA7-4E39-B949-4F6BA43AFEB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1723</Words>
  <Characters>1858</Characters>
  <Lines>14</Lines>
  <Paragraphs>4</Paragraphs>
  <TotalTime>56</TotalTime>
  <ScaleCrop>false</ScaleCrop>
  <LinksUpToDate>false</LinksUpToDate>
  <CharactersWithSpaces>1914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2020-04-24T07:44:00Z</dcterms:created>
  <dc:creator>Unknown User</dc:creator>
  <cp:lastModifiedBy>平妮子</cp:lastModifiedBy>
  <cp:lastPrinted>2022-08-11T02:26:00Z</cp:lastPrinted>
  <dcterms:modified xsi:type="dcterms:W3CDTF">2024-08-20T15:03:56Z</dcterms:modified>
  <dc:title>天 津 大 学 文 件</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EA52320FCE104D4581EB1571DA0E6511</vt:lpwstr>
  </property>
</Properties>
</file>