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CF4F5">
      <w:pPr>
        <w:keepNext w:val="0"/>
        <w:keepLines w:val="0"/>
        <w:pageBreakBefore w:val="0"/>
        <w:kinsoku/>
        <w:wordWrap/>
        <w:overflowPunct/>
        <w:topLinePunct w:val="0"/>
        <w:autoSpaceDE/>
        <w:autoSpaceDN/>
        <w:bidi w:val="0"/>
        <w:adjustRightInd/>
        <w:spacing w:line="240" w:lineRule="auto"/>
        <w:jc w:val="center"/>
        <w:textAlignment w:val="auto"/>
        <w:rPr>
          <w:rFonts w:hint="eastAsia" w:ascii="黑体" w:hAnsi="黑体" w:eastAsia="黑体" w:cs="黑体"/>
          <w:b/>
          <w:color w:val="auto"/>
          <w:sz w:val="36"/>
          <w:szCs w:val="36"/>
          <w:lang w:eastAsia="zh-CN"/>
        </w:rPr>
      </w:pPr>
      <w:r>
        <w:rPr>
          <w:rFonts w:hint="eastAsia" w:ascii="黑体" w:hAnsi="黑体" w:eastAsia="黑体" w:cs="黑体"/>
          <w:b/>
          <w:color w:val="auto"/>
          <w:sz w:val="36"/>
          <w:szCs w:val="36"/>
        </w:rPr>
        <w:t>微电子学院</w:t>
      </w:r>
      <w:r>
        <w:rPr>
          <w:rFonts w:hint="eastAsia" w:ascii="黑体" w:hAnsi="黑体" w:eastAsia="黑体" w:cs="黑体"/>
          <w:b/>
          <w:color w:val="auto"/>
          <w:sz w:val="36"/>
          <w:szCs w:val="36"/>
          <w:lang w:eastAsia="zh-CN"/>
        </w:rPr>
        <w:t>2024级</w:t>
      </w:r>
    </w:p>
    <w:p w14:paraId="25D6ECF2">
      <w:pPr>
        <w:keepNext w:val="0"/>
        <w:keepLines w:val="0"/>
        <w:pageBreakBefore w:val="0"/>
        <w:kinsoku/>
        <w:wordWrap/>
        <w:overflowPunct/>
        <w:topLinePunct w:val="0"/>
        <w:autoSpaceDE/>
        <w:autoSpaceDN/>
        <w:bidi w:val="0"/>
        <w:adjustRightInd/>
        <w:spacing w:line="240" w:lineRule="auto"/>
        <w:jc w:val="center"/>
        <w:textAlignment w:val="auto"/>
        <w:rPr>
          <w:rFonts w:hint="eastAsia" w:ascii="黑体" w:hAnsi="黑体" w:eastAsia="黑体" w:cs="黑体"/>
          <w:b/>
          <w:color w:val="auto"/>
          <w:sz w:val="36"/>
          <w:szCs w:val="36"/>
        </w:rPr>
      </w:pPr>
      <w:r>
        <w:rPr>
          <w:rFonts w:hint="eastAsia" w:ascii="黑体" w:hAnsi="黑体" w:eastAsia="黑体" w:cs="黑体"/>
          <w:b/>
          <w:color w:val="auto"/>
          <w:sz w:val="36"/>
          <w:szCs w:val="36"/>
        </w:rPr>
        <w:t>本科生主修专业</w:t>
      </w:r>
      <w:r>
        <w:rPr>
          <w:rFonts w:ascii="黑体" w:hAnsi="黑体" w:eastAsia="黑体" w:cs="黑体"/>
          <w:b/>
          <w:color w:val="auto"/>
          <w:sz w:val="36"/>
          <w:szCs w:val="36"/>
        </w:rPr>
        <w:t>确认</w:t>
      </w:r>
      <w:r>
        <w:rPr>
          <w:rFonts w:hint="eastAsia" w:ascii="黑体" w:hAnsi="黑体" w:eastAsia="黑体" w:cs="黑体"/>
          <w:b/>
          <w:color w:val="auto"/>
          <w:sz w:val="36"/>
          <w:szCs w:val="36"/>
        </w:rPr>
        <w:t>实施细则</w:t>
      </w:r>
    </w:p>
    <w:p w14:paraId="3BD954E3">
      <w:pPr>
        <w:keepNext w:val="0"/>
        <w:keepLines w:val="0"/>
        <w:pageBreakBefore w:val="0"/>
        <w:kinsoku/>
        <w:wordWrap/>
        <w:overflowPunct/>
        <w:topLinePunct w:val="0"/>
        <w:autoSpaceDE/>
        <w:autoSpaceDN/>
        <w:bidi w:val="0"/>
        <w:adjustRightInd/>
        <w:spacing w:line="240" w:lineRule="auto"/>
        <w:jc w:val="center"/>
        <w:textAlignment w:val="auto"/>
        <w:rPr>
          <w:rFonts w:hint="eastAsia" w:ascii="黑体" w:hAnsi="黑体" w:eastAsia="黑体" w:cs="黑体"/>
          <w:b/>
          <w:color w:val="auto"/>
          <w:sz w:val="36"/>
          <w:szCs w:val="36"/>
        </w:rPr>
      </w:pPr>
    </w:p>
    <w:p w14:paraId="09C13BB7">
      <w:pPr>
        <w:keepNext w:val="0"/>
        <w:keepLines w:val="0"/>
        <w:pageBreakBefore w:val="0"/>
        <w:widowControl/>
        <w:kinsoku/>
        <w:wordWrap/>
        <w:overflowPunct/>
        <w:topLinePunct w:val="0"/>
        <w:autoSpaceDE/>
        <w:autoSpaceDN/>
        <w:bidi w:val="0"/>
        <w:adjustRightInd w:val="0"/>
        <w:snapToGrid w:val="0"/>
        <w:spacing w:line="360" w:lineRule="auto"/>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为全面落实《天津大学一流本科教育2030行动计划》有关要求，坚持立德树人、坚持通专融合、坚持贯通培养，贯彻以学生发展为中心的教育理念，给予学生更大的专业选择自主权，激发学生学习动力，不断提高人才培养质量。根据《天津大学本科生主修专业确认及转专业实施办法》，结合学院实际教学情况，制定《微电子学院2024级本科生主修专业确认实施细则》。</w:t>
      </w:r>
    </w:p>
    <w:p w14:paraId="45523E16">
      <w:pPr>
        <w:keepNext w:val="0"/>
        <w:keepLines w:val="0"/>
        <w:pageBreakBefore w:val="0"/>
        <w:numPr>
          <w:ilvl w:val="0"/>
          <w:numId w:val="1"/>
        </w:numPr>
        <w:kinsoku/>
        <w:wordWrap/>
        <w:overflowPunct/>
        <w:topLinePunct w:val="0"/>
        <w:autoSpaceDE/>
        <w:autoSpaceDN/>
        <w:bidi w:val="0"/>
        <w:adjustRightInd/>
        <w:spacing w:line="240" w:lineRule="auto"/>
        <w:ind w:firstLine="684"/>
        <w:jc w:val="left"/>
        <w:textAlignment w:val="auto"/>
        <w:rPr>
          <w:rFonts w:ascii="仿宋_GB2312" w:hAnsi="宋体" w:eastAsia="仿宋_GB2312"/>
          <w:b/>
          <w:color w:val="auto"/>
          <w:sz w:val="32"/>
          <w:szCs w:val="32"/>
        </w:rPr>
      </w:pPr>
      <w:r>
        <w:rPr>
          <w:rFonts w:hint="eastAsia" w:ascii="仿宋_GB2312" w:hAnsi="宋体" w:eastAsia="仿宋_GB2312"/>
          <w:b/>
          <w:color w:val="auto"/>
          <w:sz w:val="32"/>
          <w:szCs w:val="32"/>
        </w:rPr>
        <w:t>基本原则</w:t>
      </w:r>
    </w:p>
    <w:p w14:paraId="2F935F19">
      <w:pPr>
        <w:pStyle w:val="16"/>
        <w:keepNext w:val="0"/>
        <w:keepLines w:val="0"/>
        <w:pageBreakBefore w:val="0"/>
        <w:widowControl/>
        <w:kinsoku/>
        <w:wordWrap/>
        <w:overflowPunct/>
        <w:topLinePunct w:val="0"/>
        <w:autoSpaceDE/>
        <w:autoSpaceDN/>
        <w:bidi w:val="0"/>
        <w:adjustRightInd/>
        <w:spacing w:line="240" w:lineRule="auto"/>
        <w:ind w:firstLine="640"/>
        <w:textAlignment w:val="auto"/>
        <w:rPr>
          <w:rFonts w:ascii="仿宋_GB2312" w:eastAsia="仿宋_GB2312"/>
          <w:color w:val="auto"/>
          <w:kern w:val="0"/>
          <w:sz w:val="32"/>
          <w:szCs w:val="32"/>
        </w:rPr>
      </w:pPr>
      <w:r>
        <w:rPr>
          <w:rFonts w:hint="eastAsia" w:eastAsia="仿宋_GB2312"/>
          <w:color w:val="auto"/>
          <w:sz w:val="32"/>
          <w:szCs w:val="32"/>
        </w:rPr>
        <w:t>（一）以学生发展为中心，坚持公开、公平、公正的原则，充分</w:t>
      </w:r>
      <w:r>
        <w:rPr>
          <w:rFonts w:hint="eastAsia" w:ascii="仿宋_GB2312" w:eastAsia="仿宋_GB2312"/>
          <w:color w:val="auto"/>
          <w:kern w:val="0"/>
          <w:sz w:val="32"/>
          <w:szCs w:val="32"/>
        </w:rPr>
        <w:t>发挥学院主体作用。</w:t>
      </w:r>
    </w:p>
    <w:p w14:paraId="3B282032">
      <w:pPr>
        <w:pStyle w:val="3"/>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left"/>
        <w:textAlignment w:val="auto"/>
        <w:rPr>
          <w:rFonts w:hint="eastAsia" w:eastAsia="仿宋_GB2312"/>
          <w:color w:val="auto"/>
          <w:sz w:val="32"/>
          <w:szCs w:val="32"/>
        </w:rPr>
      </w:pPr>
      <w:r>
        <w:rPr>
          <w:rFonts w:hint="eastAsia" w:ascii="仿宋_GB2312" w:eastAsia="仿宋_GB2312"/>
          <w:color w:val="auto"/>
          <w:kern w:val="0"/>
          <w:sz w:val="32"/>
          <w:szCs w:val="32"/>
        </w:rPr>
        <w:t>（二）</w:t>
      </w:r>
      <w:r>
        <w:rPr>
          <w:rFonts w:hint="eastAsia" w:eastAsia="仿宋_GB2312"/>
          <w:color w:val="auto"/>
          <w:sz w:val="32"/>
          <w:szCs w:val="32"/>
        </w:rPr>
        <w:t>主修专业确认是指按大类招生的学生入学后须选择某一专业作为自己的主修专业。入学时按专业招生的学生不在主修专业确认范围。主修专业确认的原则是在所属招生大类内设置的各专业里选择并确认主修专业。</w:t>
      </w:r>
    </w:p>
    <w:p w14:paraId="1D415FA2">
      <w:pPr>
        <w:keepNext w:val="0"/>
        <w:keepLines w:val="0"/>
        <w:pageBreakBefore w:val="0"/>
        <w:numPr>
          <w:ilvl w:val="0"/>
          <w:numId w:val="1"/>
        </w:numPr>
        <w:kinsoku/>
        <w:wordWrap/>
        <w:overflowPunct/>
        <w:topLinePunct w:val="0"/>
        <w:autoSpaceDE/>
        <w:autoSpaceDN/>
        <w:bidi w:val="0"/>
        <w:adjustRightInd/>
        <w:spacing w:line="240" w:lineRule="auto"/>
        <w:ind w:firstLine="684"/>
        <w:jc w:val="left"/>
        <w:textAlignment w:val="auto"/>
        <w:rPr>
          <w:rFonts w:ascii="仿宋_GB2312" w:hAnsi="宋体" w:eastAsia="仿宋_GB2312"/>
          <w:b/>
          <w:color w:val="auto"/>
          <w:sz w:val="32"/>
          <w:szCs w:val="32"/>
        </w:rPr>
      </w:pPr>
      <w:r>
        <w:rPr>
          <w:rFonts w:hint="eastAsia" w:ascii="仿宋_GB2312" w:hAnsi="宋体" w:eastAsia="仿宋_GB2312"/>
          <w:b/>
          <w:color w:val="auto"/>
          <w:sz w:val="32"/>
          <w:szCs w:val="32"/>
        </w:rPr>
        <w:t>组织与领导</w:t>
      </w:r>
    </w:p>
    <w:p w14:paraId="6C88F4B3">
      <w:pPr>
        <w:keepNext w:val="0"/>
        <w:keepLines w:val="0"/>
        <w:pageBreakBefore w:val="0"/>
        <w:kinsoku/>
        <w:wordWrap/>
        <w:overflowPunct/>
        <w:topLinePunct w:val="0"/>
        <w:autoSpaceDE/>
        <w:autoSpaceDN/>
        <w:bidi w:val="0"/>
        <w:adjustRightInd/>
        <w:spacing w:line="240" w:lineRule="auto"/>
        <w:ind w:firstLine="640" w:firstLineChars="200"/>
        <w:jc w:val="left"/>
        <w:textAlignment w:val="auto"/>
        <w:rPr>
          <w:rFonts w:ascii="仿宋_GB2312" w:hAnsi="宋体" w:eastAsia="仿宋_GB2312"/>
          <w:color w:val="auto"/>
          <w:sz w:val="32"/>
          <w:szCs w:val="32"/>
        </w:rPr>
      </w:pPr>
      <w:r>
        <w:rPr>
          <w:rFonts w:hint="eastAsia" w:ascii="仿宋_GB2312" w:hAnsi="宋体" w:eastAsia="仿宋_GB2312"/>
          <w:color w:val="auto"/>
          <w:sz w:val="32"/>
          <w:szCs w:val="32"/>
        </w:rPr>
        <w:t>学院成立本科生主修专业</w:t>
      </w:r>
      <w:r>
        <w:rPr>
          <w:rFonts w:ascii="仿宋_GB2312" w:hAnsi="宋体" w:eastAsia="仿宋_GB2312"/>
          <w:color w:val="auto"/>
          <w:sz w:val="32"/>
          <w:szCs w:val="32"/>
        </w:rPr>
        <w:t>确认</w:t>
      </w:r>
      <w:r>
        <w:rPr>
          <w:rFonts w:hint="eastAsia" w:ascii="仿宋_GB2312" w:hAnsi="宋体" w:eastAsia="仿宋_GB2312"/>
          <w:color w:val="auto"/>
          <w:sz w:val="32"/>
          <w:szCs w:val="32"/>
        </w:rPr>
        <w:t>工作委员会，具体组成如下：</w:t>
      </w:r>
    </w:p>
    <w:p w14:paraId="4CC1F7C8">
      <w:pPr>
        <w:keepNext w:val="0"/>
        <w:keepLines w:val="0"/>
        <w:pageBreakBefore w:val="0"/>
        <w:kinsoku/>
        <w:wordWrap/>
        <w:overflowPunct/>
        <w:topLinePunct w:val="0"/>
        <w:autoSpaceDE/>
        <w:autoSpaceDN/>
        <w:bidi w:val="0"/>
        <w:adjustRightInd/>
        <w:spacing w:line="240" w:lineRule="auto"/>
        <w:ind w:firstLine="640" w:firstLineChars="200"/>
        <w:jc w:val="left"/>
        <w:textAlignment w:val="auto"/>
        <w:rPr>
          <w:rFonts w:hint="eastAsia" w:ascii="仿宋_GB2312" w:hAnsi="宋体" w:eastAsia="仿宋_GB2312"/>
          <w:color w:val="auto"/>
          <w:sz w:val="32"/>
          <w:szCs w:val="32"/>
          <w:lang w:eastAsia="zh-CN"/>
        </w:rPr>
      </w:pPr>
      <w:r>
        <w:rPr>
          <w:rFonts w:hint="eastAsia" w:ascii="仿宋_GB2312" w:hAnsi="宋体" w:eastAsia="仿宋_GB2312"/>
          <w:color w:val="auto"/>
          <w:sz w:val="32"/>
          <w:szCs w:val="32"/>
        </w:rPr>
        <w:t>组长：马凯学、</w:t>
      </w:r>
      <w:r>
        <w:rPr>
          <w:rFonts w:hint="eastAsia" w:ascii="仿宋_GB2312" w:hAnsi="宋体" w:eastAsia="仿宋_GB2312"/>
          <w:color w:val="auto"/>
          <w:sz w:val="32"/>
          <w:szCs w:val="32"/>
          <w:lang w:val="en-US" w:eastAsia="zh-CN"/>
        </w:rPr>
        <w:t>贾果欣</w:t>
      </w:r>
    </w:p>
    <w:p w14:paraId="7C5BEC75">
      <w:pPr>
        <w:keepNext w:val="0"/>
        <w:keepLines w:val="0"/>
        <w:pageBreakBefore w:val="0"/>
        <w:kinsoku/>
        <w:wordWrap/>
        <w:overflowPunct/>
        <w:topLinePunct w:val="0"/>
        <w:autoSpaceDE/>
        <w:autoSpaceDN/>
        <w:bidi w:val="0"/>
        <w:adjustRightInd/>
        <w:spacing w:line="240" w:lineRule="auto"/>
        <w:ind w:firstLine="640" w:firstLineChars="200"/>
        <w:jc w:val="left"/>
        <w:textAlignment w:val="auto"/>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rPr>
        <w:t>副组长：刘强、</w:t>
      </w:r>
      <w:r>
        <w:rPr>
          <w:rFonts w:hint="eastAsia" w:ascii="仿宋_GB2312" w:hAnsi="宋体" w:eastAsia="仿宋_GB2312"/>
          <w:color w:val="auto"/>
          <w:sz w:val="32"/>
          <w:szCs w:val="32"/>
          <w:lang w:val="en-US" w:eastAsia="zh-CN"/>
        </w:rPr>
        <w:t>韩旭</w:t>
      </w:r>
    </w:p>
    <w:p w14:paraId="35CDE374">
      <w:pPr>
        <w:keepNext w:val="0"/>
        <w:keepLines w:val="0"/>
        <w:pageBreakBefore w:val="0"/>
        <w:kinsoku/>
        <w:wordWrap/>
        <w:overflowPunct/>
        <w:topLinePunct w:val="0"/>
        <w:autoSpaceDE/>
        <w:autoSpaceDN/>
        <w:bidi w:val="0"/>
        <w:adjustRightInd/>
        <w:spacing w:line="240" w:lineRule="auto"/>
        <w:ind w:firstLine="640" w:firstLineChars="200"/>
        <w:jc w:val="left"/>
        <w:textAlignment w:val="auto"/>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rPr>
        <w:t>委员：赵毅强、李玲霞、肖夏、秦国轩、刘昱、梁继然、徐江涛、马永涛、石惠、</w:t>
      </w:r>
      <w:r>
        <w:rPr>
          <w:rFonts w:hint="eastAsia" w:ascii="仿宋_GB2312" w:hAnsi="宋体" w:eastAsia="仿宋_GB2312"/>
          <w:color w:val="auto"/>
          <w:sz w:val="32"/>
          <w:szCs w:val="32"/>
          <w:lang w:val="en-US" w:eastAsia="zh-CN"/>
        </w:rPr>
        <w:t>刘春阳</w:t>
      </w:r>
    </w:p>
    <w:p w14:paraId="152477EA">
      <w:pPr>
        <w:keepNext w:val="0"/>
        <w:keepLines w:val="0"/>
        <w:pageBreakBefore w:val="0"/>
        <w:kinsoku/>
        <w:wordWrap/>
        <w:overflowPunct/>
        <w:topLinePunct w:val="0"/>
        <w:autoSpaceDE/>
        <w:autoSpaceDN/>
        <w:bidi w:val="0"/>
        <w:adjustRightInd/>
        <w:spacing w:line="240" w:lineRule="auto"/>
        <w:ind w:firstLine="640" w:firstLineChars="200"/>
        <w:jc w:val="left"/>
        <w:textAlignment w:val="auto"/>
        <w:rPr>
          <w:rFonts w:hint="eastAsia" w:eastAsia="仿宋_GB2312"/>
          <w:color w:val="auto"/>
          <w:sz w:val="32"/>
          <w:szCs w:val="32"/>
          <w:lang w:eastAsia="zh-CN"/>
        </w:rPr>
      </w:pPr>
      <w:r>
        <w:rPr>
          <w:rFonts w:hint="eastAsia" w:eastAsia="仿宋_GB2312"/>
          <w:color w:val="auto"/>
          <w:sz w:val="32"/>
          <w:szCs w:val="32"/>
        </w:rPr>
        <w:t>咨询联系人：</w:t>
      </w:r>
      <w:r>
        <w:rPr>
          <w:rFonts w:hint="eastAsia" w:eastAsia="仿宋_GB2312"/>
          <w:color w:val="auto"/>
          <w:sz w:val="32"/>
          <w:szCs w:val="32"/>
          <w:lang w:val="en-US" w:eastAsia="zh-CN"/>
        </w:rPr>
        <w:t>孙睿</w:t>
      </w:r>
    </w:p>
    <w:p w14:paraId="42489AE2">
      <w:pPr>
        <w:keepNext w:val="0"/>
        <w:keepLines w:val="0"/>
        <w:pageBreakBefore w:val="0"/>
        <w:kinsoku/>
        <w:wordWrap/>
        <w:overflowPunct/>
        <w:topLinePunct w:val="0"/>
        <w:autoSpaceDE/>
        <w:autoSpaceDN/>
        <w:bidi w:val="0"/>
        <w:adjustRightInd/>
        <w:spacing w:line="240" w:lineRule="auto"/>
        <w:ind w:firstLine="640" w:firstLineChars="200"/>
        <w:jc w:val="left"/>
        <w:textAlignment w:val="auto"/>
        <w:rPr>
          <w:rFonts w:hint="eastAsia" w:ascii="仿宋_GB2312" w:hAnsi="宋体" w:eastAsia="仿宋_GB2312"/>
          <w:b/>
          <w:color w:val="auto"/>
          <w:sz w:val="32"/>
          <w:szCs w:val="32"/>
        </w:rPr>
      </w:pPr>
      <w:r>
        <w:rPr>
          <w:rFonts w:hint="eastAsia" w:eastAsia="仿宋_GB2312"/>
          <w:color w:val="auto"/>
          <w:sz w:val="32"/>
          <w:szCs w:val="32"/>
        </w:rPr>
        <w:t>联系</w:t>
      </w:r>
      <w:r>
        <w:rPr>
          <w:rFonts w:eastAsia="仿宋_GB2312"/>
          <w:color w:val="auto"/>
          <w:sz w:val="32"/>
          <w:szCs w:val="32"/>
        </w:rPr>
        <w:t>电话：</w:t>
      </w:r>
      <w:r>
        <w:rPr>
          <w:rFonts w:hint="eastAsia" w:eastAsia="仿宋_GB2312"/>
          <w:color w:val="auto"/>
          <w:sz w:val="32"/>
          <w:szCs w:val="32"/>
          <w:lang w:val="en-US" w:eastAsia="zh-CN"/>
        </w:rPr>
        <w:t>022-27893563</w:t>
      </w:r>
    </w:p>
    <w:p w14:paraId="60C49DED">
      <w:pPr>
        <w:keepNext w:val="0"/>
        <w:keepLines w:val="0"/>
        <w:pageBreakBefore w:val="0"/>
        <w:kinsoku/>
        <w:wordWrap/>
        <w:overflowPunct/>
        <w:topLinePunct w:val="0"/>
        <w:autoSpaceDE/>
        <w:autoSpaceDN/>
        <w:bidi w:val="0"/>
        <w:adjustRightInd/>
        <w:spacing w:line="240" w:lineRule="auto"/>
        <w:ind w:left="511"/>
        <w:jc w:val="left"/>
        <w:textAlignment w:val="auto"/>
        <w:rPr>
          <w:rFonts w:asciiTheme="minorEastAsia" w:hAnsiTheme="minorEastAsia" w:cstheme="minorEastAsia"/>
          <w:color w:val="auto"/>
          <w:sz w:val="28"/>
          <w:szCs w:val="28"/>
        </w:rPr>
      </w:pPr>
      <w:r>
        <w:rPr>
          <w:rFonts w:hint="eastAsia" w:ascii="仿宋_GB2312" w:hAnsi="宋体" w:eastAsia="仿宋_GB2312"/>
          <w:b/>
          <w:color w:val="auto"/>
          <w:sz w:val="32"/>
          <w:szCs w:val="32"/>
        </w:rPr>
        <w:t>三、主修专业确认实施办法</w:t>
      </w:r>
    </w:p>
    <w:p w14:paraId="7B90D4CF">
      <w:pPr>
        <w:keepNext w:val="0"/>
        <w:keepLines w:val="0"/>
        <w:pageBreakBefore w:val="0"/>
        <w:kinsoku/>
        <w:wordWrap/>
        <w:overflowPunct/>
        <w:topLinePunct w:val="0"/>
        <w:autoSpaceDE/>
        <w:autoSpaceDN/>
        <w:bidi w:val="0"/>
        <w:adjustRightInd/>
        <w:spacing w:line="240" w:lineRule="auto"/>
        <w:ind w:firstLine="640" w:firstLineChars="200"/>
        <w:jc w:val="left"/>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（一）类内各专业基本名额</w:t>
      </w:r>
    </w:p>
    <w:tbl>
      <w:tblPr>
        <w:tblStyle w:val="8"/>
        <w:tblW w:w="704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3645"/>
      </w:tblGrid>
      <w:tr w14:paraId="59E6D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vAlign w:val="center"/>
          </w:tcPr>
          <w:p w14:paraId="75AAF247">
            <w:pPr>
              <w:keepNext w:val="0"/>
              <w:keepLines w:val="0"/>
              <w:pageBreakBefore w:val="0"/>
              <w:kinsoku/>
              <w:wordWrap/>
              <w:overflowPunct/>
              <w:topLinePunct w:val="0"/>
              <w:autoSpaceDE/>
              <w:autoSpaceDN/>
              <w:bidi w:val="0"/>
              <w:adjustRightInd/>
              <w:spacing w:line="240" w:lineRule="auto"/>
              <w:jc w:val="center"/>
              <w:textAlignment w:val="auto"/>
              <w:rPr>
                <w:rFonts w:ascii="仿宋_GB2312" w:hAnsi="宋体" w:eastAsia="仿宋_GB2312"/>
                <w:color w:val="auto"/>
                <w:sz w:val="32"/>
                <w:szCs w:val="32"/>
              </w:rPr>
            </w:pPr>
            <w:r>
              <w:rPr>
                <w:rFonts w:hint="eastAsia" w:ascii="仿宋_GB2312" w:hAnsi="宋体" w:eastAsia="仿宋_GB2312"/>
                <w:color w:val="auto"/>
                <w:sz w:val="32"/>
                <w:szCs w:val="32"/>
              </w:rPr>
              <w:t>类内专业名称</w:t>
            </w:r>
          </w:p>
        </w:tc>
        <w:tc>
          <w:tcPr>
            <w:tcW w:w="3645" w:type="dxa"/>
            <w:vAlign w:val="center"/>
          </w:tcPr>
          <w:p w14:paraId="6B188DDE">
            <w:pPr>
              <w:keepNext w:val="0"/>
              <w:keepLines w:val="0"/>
              <w:pageBreakBefore w:val="0"/>
              <w:kinsoku/>
              <w:wordWrap/>
              <w:overflowPunct/>
              <w:topLinePunct w:val="0"/>
              <w:autoSpaceDE/>
              <w:autoSpaceDN/>
              <w:bidi w:val="0"/>
              <w:adjustRightInd/>
              <w:spacing w:line="240" w:lineRule="auto"/>
              <w:jc w:val="center"/>
              <w:textAlignment w:val="auto"/>
              <w:rPr>
                <w:rFonts w:ascii="仿宋_GB2312" w:hAnsi="宋体" w:eastAsia="仿宋_GB2312"/>
                <w:color w:val="auto"/>
                <w:sz w:val="32"/>
                <w:szCs w:val="32"/>
              </w:rPr>
            </w:pPr>
            <w:r>
              <w:rPr>
                <w:rFonts w:hint="eastAsia" w:ascii="仿宋_GB2312" w:hAnsi="宋体" w:eastAsia="仿宋_GB2312"/>
                <w:color w:val="auto"/>
                <w:sz w:val="32"/>
                <w:szCs w:val="32"/>
              </w:rPr>
              <w:t>占大类招生人数比例</w:t>
            </w:r>
          </w:p>
        </w:tc>
      </w:tr>
      <w:tr w14:paraId="2D0BA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vAlign w:val="center"/>
          </w:tcPr>
          <w:p w14:paraId="35387EFD">
            <w:pPr>
              <w:keepNext w:val="0"/>
              <w:keepLines w:val="0"/>
              <w:pageBreakBefore w:val="0"/>
              <w:kinsoku/>
              <w:wordWrap/>
              <w:overflowPunct/>
              <w:topLinePunct w:val="0"/>
              <w:autoSpaceDE/>
              <w:autoSpaceDN/>
              <w:bidi w:val="0"/>
              <w:adjustRightInd/>
              <w:spacing w:line="240" w:lineRule="auto"/>
              <w:jc w:val="center"/>
              <w:textAlignment w:val="auto"/>
              <w:rPr>
                <w:rFonts w:ascii="仿宋_GB2312" w:hAnsi="宋体" w:eastAsia="仿宋_GB2312"/>
                <w:color w:val="auto"/>
                <w:sz w:val="28"/>
                <w:szCs w:val="32"/>
              </w:rPr>
            </w:pPr>
            <w:r>
              <w:rPr>
                <w:rFonts w:hint="eastAsia" w:ascii="仿宋_GB2312" w:hAnsi="宋体" w:eastAsia="仿宋_GB2312"/>
                <w:color w:val="auto"/>
                <w:sz w:val="28"/>
                <w:szCs w:val="32"/>
              </w:rPr>
              <w:t>电子科学与技术</w:t>
            </w:r>
          </w:p>
        </w:tc>
        <w:tc>
          <w:tcPr>
            <w:tcW w:w="3645" w:type="dxa"/>
            <w:vAlign w:val="center"/>
          </w:tcPr>
          <w:p w14:paraId="742393D7">
            <w:pPr>
              <w:keepNext w:val="0"/>
              <w:keepLines w:val="0"/>
              <w:pageBreakBefore w:val="0"/>
              <w:kinsoku/>
              <w:wordWrap/>
              <w:overflowPunct/>
              <w:topLinePunct w:val="0"/>
              <w:autoSpaceDE/>
              <w:autoSpaceDN/>
              <w:bidi w:val="0"/>
              <w:adjustRightInd/>
              <w:spacing w:line="240" w:lineRule="auto"/>
              <w:jc w:val="center"/>
              <w:textAlignment w:val="auto"/>
              <w:rPr>
                <w:rFonts w:ascii="仿宋_GB2312" w:hAnsi="宋体" w:eastAsia="仿宋_GB2312"/>
                <w:color w:val="FF0000"/>
                <w:sz w:val="32"/>
                <w:szCs w:val="32"/>
              </w:rPr>
            </w:pPr>
            <w:r>
              <w:rPr>
                <w:rFonts w:hint="eastAsia" w:ascii="仿宋_GB2312" w:hAnsi="宋体" w:eastAsia="仿宋_GB2312"/>
                <w:color w:val="FF0000"/>
                <w:sz w:val="32"/>
                <w:szCs w:val="32"/>
                <w:lang w:val="en-US" w:eastAsia="zh-CN"/>
              </w:rPr>
              <w:t>50</w:t>
            </w:r>
            <w:r>
              <w:rPr>
                <w:rFonts w:hint="eastAsia" w:ascii="仿宋_GB2312" w:hAnsi="宋体" w:eastAsia="仿宋_GB2312"/>
                <w:color w:val="FF0000"/>
                <w:sz w:val="32"/>
                <w:szCs w:val="32"/>
              </w:rPr>
              <w:t>%</w:t>
            </w:r>
          </w:p>
        </w:tc>
      </w:tr>
      <w:tr w14:paraId="663FF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vAlign w:val="center"/>
          </w:tcPr>
          <w:p w14:paraId="3353E04F">
            <w:pPr>
              <w:keepNext w:val="0"/>
              <w:keepLines w:val="0"/>
              <w:pageBreakBefore w:val="0"/>
              <w:kinsoku/>
              <w:wordWrap/>
              <w:overflowPunct/>
              <w:topLinePunct w:val="0"/>
              <w:autoSpaceDE/>
              <w:autoSpaceDN/>
              <w:bidi w:val="0"/>
              <w:adjustRightInd/>
              <w:spacing w:line="240" w:lineRule="auto"/>
              <w:jc w:val="center"/>
              <w:textAlignment w:val="auto"/>
              <w:rPr>
                <w:rFonts w:ascii="仿宋_GB2312" w:hAnsi="宋体" w:eastAsia="仿宋_GB2312"/>
                <w:color w:val="auto"/>
                <w:sz w:val="28"/>
                <w:szCs w:val="32"/>
              </w:rPr>
            </w:pPr>
            <w:r>
              <w:rPr>
                <w:rFonts w:hint="eastAsia" w:ascii="仿宋_GB2312" w:hAnsi="宋体" w:eastAsia="仿宋_GB2312"/>
                <w:color w:val="auto"/>
                <w:sz w:val="28"/>
                <w:szCs w:val="32"/>
              </w:rPr>
              <w:t>集成电路设计与集成系统</w:t>
            </w:r>
          </w:p>
        </w:tc>
        <w:tc>
          <w:tcPr>
            <w:tcW w:w="3645" w:type="dxa"/>
            <w:vAlign w:val="center"/>
          </w:tcPr>
          <w:p w14:paraId="166AC1DA">
            <w:pPr>
              <w:keepNext w:val="0"/>
              <w:keepLines w:val="0"/>
              <w:pageBreakBefore w:val="0"/>
              <w:kinsoku/>
              <w:wordWrap/>
              <w:overflowPunct/>
              <w:topLinePunct w:val="0"/>
              <w:autoSpaceDE/>
              <w:autoSpaceDN/>
              <w:bidi w:val="0"/>
              <w:adjustRightInd/>
              <w:spacing w:line="240" w:lineRule="auto"/>
              <w:jc w:val="center"/>
              <w:textAlignment w:val="auto"/>
              <w:rPr>
                <w:rFonts w:ascii="仿宋_GB2312" w:hAnsi="宋体" w:eastAsia="仿宋_GB2312"/>
                <w:color w:val="FF0000"/>
                <w:sz w:val="32"/>
                <w:szCs w:val="32"/>
              </w:rPr>
            </w:pPr>
            <w:r>
              <w:rPr>
                <w:rFonts w:hint="eastAsia" w:ascii="仿宋_GB2312" w:hAnsi="宋体" w:eastAsia="仿宋_GB2312"/>
                <w:color w:val="FF0000"/>
                <w:sz w:val="32"/>
                <w:szCs w:val="32"/>
              </w:rPr>
              <w:t>5</w:t>
            </w:r>
            <w:r>
              <w:rPr>
                <w:rFonts w:hint="eastAsia" w:ascii="仿宋_GB2312" w:hAnsi="宋体" w:eastAsia="仿宋_GB2312"/>
                <w:color w:val="FF0000"/>
                <w:sz w:val="32"/>
                <w:szCs w:val="32"/>
                <w:lang w:val="en-US" w:eastAsia="zh-CN"/>
              </w:rPr>
              <w:t>0</w:t>
            </w:r>
            <w:r>
              <w:rPr>
                <w:rFonts w:hint="eastAsia" w:ascii="仿宋_GB2312" w:hAnsi="宋体" w:eastAsia="仿宋_GB2312"/>
                <w:color w:val="FF0000"/>
                <w:sz w:val="32"/>
                <w:szCs w:val="32"/>
              </w:rPr>
              <w:t>%</w:t>
            </w:r>
          </w:p>
        </w:tc>
      </w:tr>
      <w:tr w14:paraId="4BDA6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vAlign w:val="center"/>
          </w:tcPr>
          <w:p w14:paraId="7106B9AA">
            <w:pPr>
              <w:keepNext w:val="0"/>
              <w:keepLines w:val="0"/>
              <w:pageBreakBefore w:val="0"/>
              <w:kinsoku/>
              <w:wordWrap/>
              <w:overflowPunct/>
              <w:topLinePunct w:val="0"/>
              <w:autoSpaceDE/>
              <w:autoSpaceDN/>
              <w:bidi w:val="0"/>
              <w:adjustRightInd/>
              <w:spacing w:line="240" w:lineRule="auto"/>
              <w:jc w:val="center"/>
              <w:textAlignment w:val="auto"/>
              <w:rPr>
                <w:rFonts w:ascii="仿宋_GB2312" w:hAnsi="宋体" w:eastAsia="仿宋_GB2312"/>
                <w:color w:val="auto"/>
                <w:sz w:val="28"/>
                <w:szCs w:val="32"/>
              </w:rPr>
            </w:pPr>
            <w:r>
              <w:rPr>
                <w:rFonts w:hint="eastAsia" w:ascii="仿宋_GB2312" w:hAnsi="宋体" w:eastAsia="仿宋_GB2312"/>
                <w:color w:val="auto"/>
                <w:sz w:val="28"/>
                <w:szCs w:val="32"/>
              </w:rPr>
              <w:t>合计</w:t>
            </w:r>
          </w:p>
        </w:tc>
        <w:tc>
          <w:tcPr>
            <w:tcW w:w="3645" w:type="dxa"/>
            <w:vAlign w:val="center"/>
          </w:tcPr>
          <w:p w14:paraId="3D574AC2">
            <w:pPr>
              <w:keepNext w:val="0"/>
              <w:keepLines w:val="0"/>
              <w:pageBreakBefore w:val="0"/>
              <w:kinsoku/>
              <w:wordWrap/>
              <w:overflowPunct/>
              <w:topLinePunct w:val="0"/>
              <w:autoSpaceDE/>
              <w:autoSpaceDN/>
              <w:bidi w:val="0"/>
              <w:adjustRightInd/>
              <w:spacing w:line="240" w:lineRule="auto"/>
              <w:jc w:val="center"/>
              <w:textAlignment w:val="auto"/>
              <w:rPr>
                <w:rFonts w:ascii="仿宋_GB2312" w:hAnsi="宋体" w:eastAsia="仿宋_GB2312"/>
                <w:color w:val="auto"/>
                <w:sz w:val="32"/>
                <w:szCs w:val="32"/>
              </w:rPr>
            </w:pPr>
            <w:r>
              <w:rPr>
                <w:rFonts w:ascii="仿宋_GB2312" w:hAnsi="宋体" w:eastAsia="仿宋_GB2312"/>
                <w:color w:val="auto"/>
                <w:sz w:val="32"/>
                <w:szCs w:val="32"/>
              </w:rPr>
              <w:t>100</w:t>
            </w:r>
            <w:r>
              <w:rPr>
                <w:rFonts w:hint="eastAsia" w:ascii="仿宋_GB2312" w:hAnsi="宋体" w:eastAsia="仿宋_GB2312"/>
                <w:color w:val="auto"/>
                <w:sz w:val="32"/>
                <w:szCs w:val="32"/>
              </w:rPr>
              <w:t>%</w:t>
            </w:r>
          </w:p>
        </w:tc>
      </w:tr>
    </w:tbl>
    <w:p w14:paraId="345A3922">
      <w:pPr>
        <w:keepNext w:val="0"/>
        <w:keepLines w:val="0"/>
        <w:pageBreakBefore w:val="0"/>
        <w:kinsoku/>
        <w:wordWrap/>
        <w:overflowPunct/>
        <w:topLinePunct w:val="0"/>
        <w:autoSpaceDE/>
        <w:autoSpaceDN/>
        <w:bidi w:val="0"/>
        <w:adjustRightInd/>
        <w:spacing w:line="240" w:lineRule="auto"/>
        <w:ind w:firstLine="646" w:firstLineChars="202"/>
        <w:jc w:val="left"/>
        <w:textAlignment w:val="auto"/>
        <w:rPr>
          <w:rFonts w:hint="default" w:ascii="仿宋_GB2312" w:hAnsi="宋体" w:eastAsia="仿宋_GB2312"/>
          <w:color w:val="FF0000"/>
          <w:sz w:val="32"/>
          <w:szCs w:val="32"/>
          <w:lang w:val="en-US" w:eastAsia="zh-CN"/>
        </w:rPr>
      </w:pPr>
      <w:r>
        <w:rPr>
          <w:rFonts w:hint="eastAsia" w:ascii="仿宋_GB2312" w:hAnsi="宋体" w:eastAsia="仿宋_GB2312"/>
          <w:color w:val="FF0000"/>
          <w:sz w:val="32"/>
          <w:szCs w:val="32"/>
          <w:lang w:val="en-US" w:eastAsia="zh-CN"/>
        </w:rPr>
        <w:t>说明：主修专业确认当年在吴咏诗英才班名单中学生任选专业。</w:t>
      </w:r>
    </w:p>
    <w:p w14:paraId="7F3A0A9D">
      <w:pPr>
        <w:keepNext w:val="0"/>
        <w:keepLines w:val="0"/>
        <w:pageBreakBefore w:val="0"/>
        <w:kinsoku/>
        <w:wordWrap/>
        <w:overflowPunct/>
        <w:topLinePunct w:val="0"/>
        <w:autoSpaceDE/>
        <w:autoSpaceDN/>
        <w:bidi w:val="0"/>
        <w:adjustRightInd/>
        <w:spacing w:line="240" w:lineRule="auto"/>
        <w:ind w:firstLine="646" w:firstLineChars="202"/>
        <w:jc w:val="left"/>
        <w:textAlignment w:val="auto"/>
        <w:rPr>
          <w:rFonts w:ascii="仿宋_GB2312" w:hAnsi="宋体" w:eastAsia="仿宋_GB2312"/>
          <w:color w:val="auto"/>
          <w:sz w:val="32"/>
          <w:szCs w:val="32"/>
        </w:rPr>
      </w:pPr>
      <w:r>
        <w:rPr>
          <w:rFonts w:hint="eastAsia" w:ascii="仿宋_GB2312" w:hAnsi="宋体" w:eastAsia="仿宋_GB2312"/>
          <w:color w:val="auto"/>
          <w:sz w:val="32"/>
          <w:szCs w:val="32"/>
        </w:rPr>
        <w:t>（二）主修专业确认遴选原则</w:t>
      </w:r>
    </w:p>
    <w:p w14:paraId="26180EBB">
      <w:pPr>
        <w:keepNext w:val="0"/>
        <w:keepLines w:val="0"/>
        <w:pageBreakBefore w:val="0"/>
        <w:kinsoku/>
        <w:wordWrap/>
        <w:overflowPunct/>
        <w:topLinePunct w:val="0"/>
        <w:autoSpaceDE/>
        <w:autoSpaceDN/>
        <w:bidi w:val="0"/>
        <w:adjustRightInd/>
        <w:spacing w:line="240" w:lineRule="auto"/>
        <w:ind w:firstLine="646" w:firstLineChars="202"/>
        <w:jc w:val="left"/>
        <w:textAlignment w:val="auto"/>
        <w:rPr>
          <w:rFonts w:ascii="仿宋_GB2312" w:hAnsi="宋体" w:eastAsia="仿宋_GB2312"/>
          <w:color w:val="auto"/>
          <w:sz w:val="32"/>
          <w:szCs w:val="32"/>
        </w:rPr>
      </w:pPr>
      <w:r>
        <w:rPr>
          <w:rFonts w:hint="eastAsia" w:ascii="仿宋_GB2312" w:hAnsi="宋体" w:eastAsia="仿宋_GB2312"/>
          <w:color w:val="auto"/>
          <w:sz w:val="32"/>
          <w:szCs w:val="32"/>
        </w:rPr>
        <w:t>学院大类根据学生的专业志愿组织遴选，按学生</w:t>
      </w:r>
      <w:r>
        <w:rPr>
          <w:rFonts w:hint="eastAsia" w:ascii="仿宋_GB2312" w:hAnsi="宋体" w:eastAsia="仿宋_GB2312"/>
          <w:color w:val="FF0000"/>
          <w:sz w:val="32"/>
          <w:szCs w:val="32"/>
        </w:rPr>
        <w:t>专业志愿优先</w:t>
      </w:r>
      <w:r>
        <w:rPr>
          <w:rFonts w:hint="eastAsia" w:ascii="仿宋_GB2312" w:hAnsi="宋体" w:eastAsia="仿宋_GB2312"/>
          <w:color w:val="FF0000"/>
          <w:sz w:val="32"/>
          <w:szCs w:val="32"/>
          <w:lang w:eastAsia="zh-CN"/>
        </w:rPr>
        <w:t>，</w:t>
      </w:r>
      <w:r>
        <w:rPr>
          <w:rFonts w:hint="eastAsia" w:ascii="仿宋_GB2312" w:hAnsi="宋体" w:eastAsia="仿宋_GB2312"/>
          <w:color w:val="FF0000"/>
          <w:sz w:val="32"/>
          <w:szCs w:val="32"/>
          <w:lang w:val="en-US" w:eastAsia="zh-CN"/>
        </w:rPr>
        <w:t>参考分数</w:t>
      </w:r>
      <w:r>
        <w:rPr>
          <w:rFonts w:hint="eastAsia" w:ascii="仿宋_GB2312" w:hAnsi="宋体" w:eastAsia="仿宋_GB2312"/>
          <w:color w:val="FF0000"/>
          <w:sz w:val="32"/>
          <w:szCs w:val="32"/>
        </w:rPr>
        <w:t>原则</w:t>
      </w:r>
      <w:r>
        <w:rPr>
          <w:rFonts w:hint="eastAsia" w:ascii="仿宋_GB2312" w:hAnsi="宋体" w:eastAsia="仿宋_GB2312"/>
          <w:color w:val="auto"/>
          <w:sz w:val="32"/>
          <w:szCs w:val="32"/>
        </w:rPr>
        <w:t>，自前向后、分批次进行确认或遴选。当申请人数不大于专业基本名额时，申请学生全部确认进入该专业；当学生申请人数大于专业基本名额时，该专业须按照以下方式进行遴选。</w:t>
      </w:r>
    </w:p>
    <w:p w14:paraId="03F290B7">
      <w:pPr>
        <w:keepNext w:val="0"/>
        <w:keepLines w:val="0"/>
        <w:pageBreakBefore w:val="0"/>
        <w:kinsoku/>
        <w:wordWrap/>
        <w:overflowPunct/>
        <w:topLinePunct w:val="0"/>
        <w:autoSpaceDE/>
        <w:autoSpaceDN/>
        <w:bidi w:val="0"/>
        <w:adjustRightInd/>
        <w:spacing w:line="240" w:lineRule="auto"/>
        <w:ind w:firstLine="640" w:firstLineChars="200"/>
        <w:textAlignment w:val="auto"/>
        <w:rPr>
          <w:rFonts w:ascii="仿宋_GB2312" w:hAnsi="宋体" w:eastAsia="仿宋_GB2312"/>
          <w:color w:val="auto"/>
          <w:sz w:val="32"/>
          <w:szCs w:val="32"/>
        </w:rPr>
      </w:pPr>
      <w:r>
        <w:rPr>
          <w:rFonts w:hint="eastAsia" w:ascii="仿宋_GB2312" w:hAnsi="宋体" w:eastAsia="仿宋_GB2312"/>
          <w:color w:val="auto"/>
          <w:sz w:val="32"/>
          <w:szCs w:val="32"/>
        </w:rPr>
        <w:t>主修专业确认遴选依据是学生高考相对成绩</w:t>
      </w:r>
      <w:r>
        <w:rPr>
          <w:rFonts w:hint="eastAsia" w:ascii="仿宋_GB2312" w:hAnsi="宋体" w:eastAsia="仿宋_GB2312"/>
          <w:color w:val="auto"/>
          <w:sz w:val="32"/>
          <w:szCs w:val="32"/>
          <w:lang w:val="en-US" w:eastAsia="zh-CN"/>
        </w:rPr>
        <w:t>、学生前三学期平均成绩</w:t>
      </w:r>
      <w:r>
        <w:rPr>
          <w:rFonts w:hint="eastAsia" w:ascii="仿宋_GB2312" w:hAnsi="宋体" w:eastAsia="仿宋_GB2312"/>
          <w:color w:val="auto"/>
          <w:sz w:val="32"/>
          <w:szCs w:val="32"/>
        </w:rPr>
        <w:t>。具体操作办法为：</w:t>
      </w:r>
      <w:bookmarkStart w:id="0" w:name="_GoBack"/>
      <w:bookmarkEnd w:id="0"/>
    </w:p>
    <w:p w14:paraId="0FE725EB">
      <w:pPr>
        <w:keepNext w:val="0"/>
        <w:keepLines w:val="0"/>
        <w:pageBreakBefore w:val="0"/>
        <w:kinsoku/>
        <w:wordWrap/>
        <w:overflowPunct/>
        <w:topLinePunct w:val="0"/>
        <w:autoSpaceDE/>
        <w:autoSpaceDN/>
        <w:bidi w:val="0"/>
        <w:adjustRightInd/>
        <w:spacing w:line="240" w:lineRule="auto"/>
        <w:ind w:firstLine="640" w:firstLineChars="200"/>
        <w:textAlignment w:val="auto"/>
        <w:rPr>
          <w:rFonts w:ascii="仿宋_GB2312" w:hAnsi="宋体" w:eastAsia="仿宋_GB2312"/>
          <w:color w:val="FF0000"/>
          <w:sz w:val="32"/>
          <w:szCs w:val="32"/>
        </w:rPr>
      </w:pPr>
      <w:r>
        <w:rPr>
          <w:rFonts w:hint="eastAsia" w:ascii="仿宋_GB2312" w:hAnsi="宋体" w:eastAsia="仿宋_GB2312"/>
          <w:color w:val="FF0000"/>
          <w:sz w:val="32"/>
          <w:szCs w:val="32"/>
        </w:rPr>
        <w:t>综合分：A=B（</w:t>
      </w:r>
      <w:r>
        <w:rPr>
          <w:rFonts w:hint="eastAsia" w:ascii="仿宋_GB2312" w:hAnsi="宋体" w:eastAsia="仿宋_GB2312"/>
          <w:color w:val="FF0000"/>
          <w:sz w:val="32"/>
          <w:szCs w:val="32"/>
          <w:lang w:val="en-US" w:eastAsia="zh-CN"/>
        </w:rPr>
        <w:t>高考相对成绩</w:t>
      </w:r>
      <w:r>
        <w:rPr>
          <w:rFonts w:hint="eastAsia" w:ascii="仿宋_GB2312" w:hAnsi="宋体" w:eastAsia="仿宋_GB2312"/>
          <w:color w:val="FF0000"/>
          <w:sz w:val="32"/>
          <w:szCs w:val="32"/>
        </w:rPr>
        <w:t>）</w:t>
      </w:r>
      <w:r>
        <w:rPr>
          <w:rFonts w:hint="eastAsia" w:ascii="仿宋_GB2312" w:hAnsi="宋体" w:eastAsia="仿宋_GB2312"/>
          <w:color w:val="FF0000"/>
          <w:sz w:val="32"/>
          <w:szCs w:val="32"/>
          <w:lang w:val="en-US" w:eastAsia="zh-CN"/>
        </w:rPr>
        <w:t>*40%</w:t>
      </w:r>
      <w:r>
        <w:rPr>
          <w:rFonts w:hint="eastAsia" w:ascii="仿宋_GB2312" w:hAnsi="宋体" w:eastAsia="仿宋_GB2312"/>
          <w:color w:val="FF0000"/>
          <w:sz w:val="32"/>
          <w:szCs w:val="32"/>
        </w:rPr>
        <w:t>+C</w:t>
      </w:r>
      <w:r>
        <w:rPr>
          <w:rFonts w:hint="eastAsia" w:ascii="仿宋_GB2312" w:hAnsi="宋体" w:eastAsia="仿宋_GB2312"/>
          <w:color w:val="FF0000"/>
          <w:sz w:val="32"/>
          <w:szCs w:val="32"/>
          <w:lang w:val="en-US" w:eastAsia="zh-CN"/>
        </w:rPr>
        <w:t>（前三学期平均成绩）*60%</w:t>
      </w:r>
      <w:r>
        <w:rPr>
          <w:rFonts w:hint="eastAsia" w:ascii="仿宋_GB2312" w:hAnsi="宋体" w:eastAsia="仿宋_GB2312"/>
          <w:color w:val="FF0000"/>
          <w:sz w:val="32"/>
          <w:szCs w:val="32"/>
        </w:rPr>
        <w:t>；</w:t>
      </w:r>
    </w:p>
    <w:p w14:paraId="02A02BDE">
      <w:pPr>
        <w:keepNext w:val="0"/>
        <w:keepLines w:val="0"/>
        <w:pageBreakBefore w:val="0"/>
        <w:kinsoku/>
        <w:wordWrap/>
        <w:overflowPunct/>
        <w:topLinePunct w:val="0"/>
        <w:autoSpaceDE/>
        <w:autoSpaceDN/>
        <w:bidi w:val="0"/>
        <w:adjustRightInd/>
        <w:spacing w:line="240" w:lineRule="auto"/>
        <w:ind w:firstLine="640" w:firstLineChars="200"/>
        <w:textAlignment w:val="auto"/>
        <w:rPr>
          <w:rFonts w:ascii="仿宋_GB2312" w:hAnsi="宋体" w:eastAsia="仿宋_GB2312"/>
          <w:color w:val="FF0000"/>
          <w:sz w:val="32"/>
          <w:szCs w:val="32"/>
        </w:rPr>
      </w:pPr>
      <w:r>
        <w:rPr>
          <w:rFonts w:hint="eastAsia" w:ascii="仿宋_GB2312" w:hAnsi="宋体" w:eastAsia="仿宋_GB2312"/>
          <w:color w:val="FF0000"/>
          <w:sz w:val="32"/>
          <w:szCs w:val="32"/>
        </w:rPr>
        <w:t>B=（学生高考分数/当省该大类高考分数最高分）*100；</w:t>
      </w:r>
    </w:p>
    <w:p w14:paraId="08E6F778">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eastAsia" w:ascii="仿宋_GB2312" w:hAnsi="宋体" w:eastAsia="仿宋_GB2312"/>
          <w:color w:val="FF0000"/>
          <w:sz w:val="32"/>
          <w:szCs w:val="32"/>
          <w:lang w:val="en-US" w:eastAsia="zh-CN"/>
        </w:rPr>
      </w:pPr>
      <w:r>
        <w:rPr>
          <w:rFonts w:hint="eastAsia" w:ascii="仿宋_GB2312" w:hAnsi="宋体" w:eastAsia="仿宋_GB2312"/>
          <w:color w:val="FF0000"/>
          <w:sz w:val="32"/>
          <w:szCs w:val="32"/>
        </w:rPr>
        <w:t>在同一批次志愿确认或遴选时，所有学生按成绩A由高到低排序，如成绩A相同，成绩</w:t>
      </w:r>
      <w:r>
        <w:rPr>
          <w:rFonts w:hint="eastAsia" w:ascii="仿宋_GB2312" w:hAnsi="宋体" w:eastAsia="仿宋_GB2312"/>
          <w:color w:val="FF0000"/>
          <w:sz w:val="32"/>
          <w:szCs w:val="32"/>
          <w:lang w:val="en-US" w:eastAsia="zh-CN"/>
        </w:rPr>
        <w:t>C</w:t>
      </w:r>
      <w:r>
        <w:rPr>
          <w:rFonts w:hint="eastAsia" w:ascii="仿宋_GB2312" w:hAnsi="宋体" w:eastAsia="仿宋_GB2312"/>
          <w:color w:val="FF0000"/>
          <w:sz w:val="32"/>
          <w:szCs w:val="32"/>
        </w:rPr>
        <w:t>高者优先</w:t>
      </w:r>
      <w:r>
        <w:rPr>
          <w:rFonts w:hint="eastAsia" w:ascii="仿宋_GB2312" w:hAnsi="宋体" w:eastAsia="仿宋_GB2312"/>
          <w:color w:val="FF0000"/>
          <w:sz w:val="32"/>
          <w:szCs w:val="32"/>
          <w:lang w:val="en-US" w:eastAsia="zh-CN"/>
        </w:rPr>
        <w:t>。</w:t>
      </w:r>
    </w:p>
    <w:p w14:paraId="7C1D995B">
      <w:pPr>
        <w:keepNext w:val="0"/>
        <w:keepLines w:val="0"/>
        <w:pageBreakBefore w:val="0"/>
        <w:kinsoku/>
        <w:wordWrap/>
        <w:overflowPunct/>
        <w:topLinePunct w:val="0"/>
        <w:autoSpaceDE/>
        <w:autoSpaceDN/>
        <w:bidi w:val="0"/>
        <w:adjustRightInd/>
        <w:spacing w:line="240" w:lineRule="auto"/>
        <w:ind w:firstLine="640" w:firstLineChars="200"/>
        <w:textAlignment w:val="auto"/>
        <w:rPr>
          <w:rFonts w:hint="default" w:ascii="仿宋_GB2312" w:hAnsi="宋体" w:eastAsia="仿宋_GB2312"/>
          <w:bCs/>
          <w:color w:val="auto"/>
          <w:sz w:val="32"/>
          <w:szCs w:val="32"/>
          <w:lang w:val="en-US" w:eastAsia="zh-CN"/>
        </w:rPr>
      </w:pPr>
      <w:r>
        <w:rPr>
          <w:rFonts w:hint="eastAsia" w:ascii="仿宋_GB2312" w:hAnsi="宋体" w:eastAsia="仿宋_GB2312"/>
          <w:bCs/>
          <w:color w:val="FF0000"/>
          <w:sz w:val="32"/>
          <w:szCs w:val="32"/>
          <w:lang w:val="en-US" w:eastAsia="zh-CN"/>
        </w:rPr>
        <w:t>原则上不允许学生申请缓考。</w:t>
      </w:r>
    </w:p>
    <w:p w14:paraId="4C06112F">
      <w:pPr>
        <w:keepNext w:val="0"/>
        <w:keepLines w:val="0"/>
        <w:pageBreakBefore w:val="0"/>
        <w:kinsoku/>
        <w:wordWrap/>
        <w:overflowPunct/>
        <w:topLinePunct w:val="0"/>
        <w:autoSpaceDE/>
        <w:autoSpaceDN/>
        <w:bidi w:val="0"/>
        <w:adjustRightInd/>
        <w:spacing w:line="240" w:lineRule="auto"/>
        <w:ind w:firstLine="646" w:firstLineChars="202"/>
        <w:jc w:val="left"/>
        <w:textAlignment w:val="auto"/>
        <w:rPr>
          <w:rFonts w:ascii="仿宋_GB2312" w:hAnsi="宋体" w:eastAsia="仿宋_GB2312"/>
          <w:color w:val="auto"/>
          <w:sz w:val="32"/>
          <w:szCs w:val="32"/>
        </w:rPr>
      </w:pPr>
      <w:r>
        <w:rPr>
          <w:rFonts w:hint="eastAsia" w:ascii="仿宋_GB2312" w:hAnsi="宋体" w:eastAsia="仿宋_GB2312"/>
          <w:color w:val="auto"/>
          <w:sz w:val="32"/>
          <w:szCs w:val="32"/>
        </w:rPr>
        <w:t>（三）主修专业确认工作时间安排</w:t>
      </w:r>
    </w:p>
    <w:p w14:paraId="320A2400">
      <w:pPr>
        <w:pStyle w:val="3"/>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left"/>
        <w:textAlignment w:val="auto"/>
        <w:rPr>
          <w:rFonts w:eastAsia="仿宋_GB2312"/>
          <w:color w:val="auto"/>
          <w:sz w:val="32"/>
          <w:szCs w:val="32"/>
        </w:rPr>
      </w:pPr>
      <w:r>
        <w:rPr>
          <w:rFonts w:hint="eastAsia" w:ascii="仿宋_GB2312" w:hAnsi="宋体" w:eastAsia="仿宋_GB2312" w:cs="仿宋_GB2312"/>
          <w:color w:val="auto"/>
          <w:sz w:val="32"/>
          <w:szCs w:val="32"/>
        </w:rPr>
        <w:t>1.</w:t>
      </w:r>
      <w:r>
        <w:rPr>
          <w:rFonts w:hint="eastAsia" w:ascii="仿宋_GB2312" w:hAnsi="宋体" w:eastAsia="仿宋_GB2312" w:cs="仿宋_GB2312"/>
          <w:color w:val="auto"/>
          <w:sz w:val="32"/>
          <w:szCs w:val="32"/>
          <w:lang w:eastAsia="zh-CN"/>
        </w:rPr>
        <w:t>2026年</w:t>
      </w:r>
      <w:r>
        <w:rPr>
          <w:rFonts w:hint="eastAsia" w:ascii="仿宋_GB2312" w:hAnsi="宋体" w:eastAsia="仿宋_GB2312" w:cs="仿宋_GB2312"/>
          <w:color w:val="auto"/>
          <w:sz w:val="32"/>
          <w:szCs w:val="32"/>
          <w:lang w:val="en-US" w:eastAsia="zh-CN"/>
        </w:rPr>
        <w:t>春季学期第五周</w:t>
      </w:r>
      <w:r>
        <w:rPr>
          <w:rFonts w:hint="eastAsia" w:ascii="仿宋_GB2312" w:hAnsi="宋体" w:eastAsia="仿宋_GB2312" w:cs="仿宋_GB2312"/>
          <w:color w:val="auto"/>
          <w:sz w:val="32"/>
          <w:szCs w:val="32"/>
        </w:rPr>
        <w:t>前，所属</w:t>
      </w:r>
      <w:r>
        <w:rPr>
          <w:rFonts w:hint="eastAsia" w:ascii="仿宋_GB2312" w:hAnsi="宋体" w:eastAsia="仿宋_GB2312" w:cs="仿宋_GB2312"/>
          <w:color w:val="auto"/>
          <w:sz w:val="32"/>
          <w:szCs w:val="32"/>
          <w:lang w:eastAsia="zh-CN"/>
        </w:rPr>
        <w:t>第二批次</w:t>
      </w:r>
      <w:r>
        <w:rPr>
          <w:rFonts w:hint="eastAsia" w:ascii="仿宋_GB2312" w:hAnsi="宋体" w:eastAsia="仿宋_GB2312" w:cs="仿宋_GB2312"/>
          <w:color w:val="auto"/>
          <w:sz w:val="32"/>
          <w:szCs w:val="32"/>
        </w:rPr>
        <w:t>主修专业确认的新生</w:t>
      </w:r>
      <w:r>
        <w:rPr>
          <w:rFonts w:eastAsia="仿宋_GB2312"/>
          <w:color w:val="auto"/>
          <w:sz w:val="32"/>
          <w:szCs w:val="32"/>
        </w:rPr>
        <w:t>在学校教务</w:t>
      </w:r>
      <w:r>
        <w:rPr>
          <w:rFonts w:hint="eastAsia" w:eastAsia="仿宋_GB2312"/>
          <w:color w:val="auto"/>
          <w:sz w:val="32"/>
          <w:szCs w:val="32"/>
        </w:rPr>
        <w:t>管理</w:t>
      </w:r>
      <w:r>
        <w:rPr>
          <w:rFonts w:eastAsia="仿宋_GB2312"/>
          <w:color w:val="auto"/>
          <w:sz w:val="32"/>
          <w:szCs w:val="32"/>
        </w:rPr>
        <w:t>系统</w:t>
      </w:r>
      <w:r>
        <w:rPr>
          <w:rFonts w:hint="eastAsia" w:ascii="仿宋_GB2312" w:hAnsi="仿宋_GB2312" w:eastAsia="仿宋_GB2312" w:cs="仿宋_GB2312"/>
          <w:color w:val="FF0000"/>
          <w:sz w:val="32"/>
          <w:szCs w:val="32"/>
        </w:rPr>
        <w:t>（http://classes.tju.edu.cn）</w:t>
      </w:r>
      <w:r>
        <w:rPr>
          <w:rFonts w:eastAsia="仿宋_GB2312"/>
          <w:color w:val="auto"/>
          <w:sz w:val="32"/>
          <w:szCs w:val="32"/>
        </w:rPr>
        <w:t>中一次性提交对本大类所有专业排序的志愿申请。</w:t>
      </w:r>
      <w:r>
        <w:rPr>
          <w:rFonts w:hint="eastAsia" w:eastAsia="仿宋_GB2312"/>
          <w:color w:val="auto"/>
          <w:sz w:val="32"/>
          <w:szCs w:val="32"/>
        </w:rPr>
        <w:t>学生应根据自身的特点并参考各专业基本名额经过全面及慎重考虑后填报专业志愿，志愿填报截止后不能变更。</w:t>
      </w:r>
      <w:r>
        <w:rPr>
          <w:rFonts w:eastAsia="仿宋_GB2312"/>
          <w:color w:val="auto"/>
          <w:sz w:val="32"/>
          <w:szCs w:val="32"/>
        </w:rPr>
        <w:t>如学生未</w:t>
      </w:r>
      <w:r>
        <w:rPr>
          <w:rFonts w:hint="eastAsia" w:eastAsia="仿宋_GB2312"/>
          <w:color w:val="auto"/>
          <w:sz w:val="32"/>
          <w:szCs w:val="32"/>
        </w:rPr>
        <w:t>按时</w:t>
      </w:r>
      <w:r>
        <w:rPr>
          <w:rFonts w:eastAsia="仿宋_GB2312"/>
          <w:color w:val="auto"/>
          <w:sz w:val="32"/>
          <w:szCs w:val="32"/>
        </w:rPr>
        <w:t>提交覆盖所有类内专业的志愿申请，学校将通过教务</w:t>
      </w:r>
      <w:r>
        <w:rPr>
          <w:rFonts w:hint="eastAsia" w:eastAsia="仿宋_GB2312"/>
          <w:color w:val="auto"/>
          <w:sz w:val="32"/>
          <w:szCs w:val="32"/>
        </w:rPr>
        <w:t>管理</w:t>
      </w:r>
      <w:r>
        <w:rPr>
          <w:rFonts w:eastAsia="仿宋_GB2312"/>
          <w:color w:val="auto"/>
          <w:sz w:val="32"/>
          <w:szCs w:val="32"/>
        </w:rPr>
        <w:t>系统自动为该生在所属大类中分配有余</w:t>
      </w:r>
      <w:r>
        <w:rPr>
          <w:rFonts w:hint="eastAsia" w:eastAsia="仿宋_GB2312"/>
          <w:color w:val="auto"/>
          <w:sz w:val="32"/>
          <w:szCs w:val="32"/>
        </w:rPr>
        <w:t>额</w:t>
      </w:r>
      <w:r>
        <w:rPr>
          <w:rFonts w:eastAsia="仿宋_GB2312"/>
          <w:color w:val="auto"/>
          <w:sz w:val="32"/>
          <w:szCs w:val="32"/>
        </w:rPr>
        <w:t>的专业作为该生的主修专业。</w:t>
      </w:r>
    </w:p>
    <w:p w14:paraId="6961FD0F">
      <w:pPr>
        <w:pStyle w:val="3"/>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left"/>
        <w:textAlignment w:val="auto"/>
        <w:rPr>
          <w:rFonts w:ascii="仿宋_GB2312" w:hAnsi="宋体" w:eastAsia="仿宋_GB2312"/>
          <w:color w:val="auto"/>
          <w:sz w:val="32"/>
          <w:szCs w:val="32"/>
        </w:rPr>
      </w:pPr>
      <w:r>
        <w:rPr>
          <w:rFonts w:hint="eastAsia" w:ascii="仿宋_GB2312" w:hAnsi="宋体" w:eastAsia="仿宋_GB2312"/>
          <w:color w:val="auto"/>
          <w:sz w:val="32"/>
          <w:szCs w:val="32"/>
        </w:rPr>
        <w:t>2.</w:t>
      </w:r>
      <w:r>
        <w:rPr>
          <w:rFonts w:hint="eastAsia" w:ascii="仿宋_GB2312" w:hAnsi="宋体" w:eastAsia="仿宋_GB2312" w:cs="仿宋_GB2312"/>
          <w:color w:val="auto"/>
          <w:sz w:val="32"/>
          <w:szCs w:val="32"/>
        </w:rPr>
        <w:t>志愿填报截止后，</w:t>
      </w:r>
      <w:r>
        <w:rPr>
          <w:rFonts w:hint="eastAsia" w:eastAsia="仿宋_GB2312"/>
          <w:color w:val="auto"/>
          <w:sz w:val="32"/>
          <w:szCs w:val="32"/>
        </w:rPr>
        <w:t>学院根据学生的专业志愿组织</w:t>
      </w:r>
      <w:r>
        <w:rPr>
          <w:rFonts w:eastAsia="仿宋_GB2312"/>
          <w:color w:val="auto"/>
          <w:sz w:val="32"/>
          <w:szCs w:val="32"/>
        </w:rPr>
        <w:t>遴选</w:t>
      </w:r>
      <w:r>
        <w:rPr>
          <w:rFonts w:hint="eastAsia" w:eastAsia="仿宋_GB2312"/>
          <w:color w:val="auto"/>
          <w:sz w:val="32"/>
          <w:szCs w:val="32"/>
        </w:rPr>
        <w:t>，</w:t>
      </w:r>
      <w:r>
        <w:rPr>
          <w:rFonts w:eastAsia="仿宋_GB2312"/>
          <w:color w:val="auto"/>
          <w:sz w:val="32"/>
          <w:szCs w:val="32"/>
        </w:rPr>
        <w:t>按学生专业志愿优先</w:t>
      </w:r>
      <w:r>
        <w:rPr>
          <w:rFonts w:hint="eastAsia" w:eastAsia="仿宋_GB2312"/>
          <w:color w:val="auto"/>
          <w:sz w:val="32"/>
          <w:szCs w:val="32"/>
          <w:lang w:eastAsia="zh-CN"/>
        </w:rPr>
        <w:t>，</w:t>
      </w:r>
      <w:r>
        <w:rPr>
          <w:rFonts w:hint="eastAsia" w:eastAsia="仿宋_GB2312"/>
          <w:color w:val="auto"/>
          <w:sz w:val="32"/>
          <w:szCs w:val="32"/>
          <w:lang w:val="en-US" w:eastAsia="zh-CN"/>
        </w:rPr>
        <w:t>参考分数</w:t>
      </w:r>
      <w:r>
        <w:rPr>
          <w:rFonts w:hint="eastAsia" w:eastAsia="仿宋_GB2312"/>
          <w:color w:val="auto"/>
          <w:sz w:val="32"/>
          <w:szCs w:val="32"/>
        </w:rPr>
        <w:t>原则</w:t>
      </w:r>
      <w:r>
        <w:rPr>
          <w:rFonts w:eastAsia="仿宋_GB2312"/>
          <w:color w:val="auto"/>
          <w:sz w:val="32"/>
          <w:szCs w:val="32"/>
        </w:rPr>
        <w:t>，自前向后、分批次进行确认或遴选</w:t>
      </w:r>
      <w:r>
        <w:rPr>
          <w:rFonts w:hint="eastAsia" w:eastAsia="仿宋_GB2312"/>
          <w:color w:val="auto"/>
          <w:sz w:val="32"/>
          <w:szCs w:val="32"/>
        </w:rPr>
        <w:t>。</w:t>
      </w:r>
      <w:r>
        <w:rPr>
          <w:rFonts w:eastAsia="仿宋_GB2312"/>
          <w:color w:val="auto"/>
          <w:sz w:val="32"/>
          <w:szCs w:val="32"/>
        </w:rPr>
        <w:t>当</w:t>
      </w:r>
      <w:r>
        <w:rPr>
          <w:rFonts w:hint="eastAsia" w:eastAsia="仿宋_GB2312"/>
          <w:color w:val="auto"/>
          <w:sz w:val="32"/>
          <w:szCs w:val="32"/>
        </w:rPr>
        <w:t>申请</w:t>
      </w:r>
      <w:r>
        <w:rPr>
          <w:rFonts w:eastAsia="仿宋_GB2312"/>
          <w:color w:val="auto"/>
          <w:sz w:val="32"/>
          <w:szCs w:val="32"/>
        </w:rPr>
        <w:t>人数不大于专业基本</w:t>
      </w:r>
      <w:r>
        <w:rPr>
          <w:rFonts w:hint="eastAsia" w:eastAsia="仿宋_GB2312"/>
          <w:color w:val="auto"/>
          <w:sz w:val="32"/>
          <w:szCs w:val="32"/>
        </w:rPr>
        <w:t>名额</w:t>
      </w:r>
      <w:r>
        <w:rPr>
          <w:rFonts w:eastAsia="仿宋_GB2312"/>
          <w:color w:val="auto"/>
          <w:sz w:val="32"/>
          <w:szCs w:val="32"/>
        </w:rPr>
        <w:t>时，申请学生全部确认进入该专业；当学生申请人数大于专业基本</w:t>
      </w:r>
      <w:r>
        <w:rPr>
          <w:rFonts w:hint="eastAsia" w:eastAsia="仿宋_GB2312"/>
          <w:color w:val="auto"/>
          <w:sz w:val="32"/>
          <w:szCs w:val="32"/>
        </w:rPr>
        <w:t>名额</w:t>
      </w:r>
      <w:r>
        <w:rPr>
          <w:rFonts w:eastAsia="仿宋_GB2312"/>
          <w:color w:val="auto"/>
          <w:sz w:val="32"/>
          <w:szCs w:val="32"/>
        </w:rPr>
        <w:t>时，该专业</w:t>
      </w:r>
      <w:r>
        <w:rPr>
          <w:rFonts w:hint="eastAsia" w:eastAsia="仿宋_GB2312"/>
          <w:color w:val="auto"/>
          <w:sz w:val="32"/>
          <w:szCs w:val="32"/>
        </w:rPr>
        <w:t>须按照实施细则中规定的</w:t>
      </w:r>
      <w:r>
        <w:rPr>
          <w:rFonts w:eastAsia="仿宋_GB2312"/>
          <w:color w:val="auto"/>
          <w:sz w:val="32"/>
          <w:szCs w:val="32"/>
        </w:rPr>
        <w:t>方式进行遴选。</w:t>
      </w:r>
    </w:p>
    <w:p w14:paraId="67307A4B">
      <w:pPr>
        <w:pStyle w:val="3"/>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left"/>
        <w:textAlignment w:val="auto"/>
        <w:rPr>
          <w:rFonts w:ascii="仿宋_GB2312" w:hAnsi="宋体" w:eastAsia="仿宋_GB2312"/>
          <w:color w:val="auto"/>
          <w:sz w:val="32"/>
          <w:szCs w:val="32"/>
        </w:rPr>
      </w:pPr>
      <w:r>
        <w:rPr>
          <w:rFonts w:hint="eastAsia" w:ascii="仿宋_GB2312" w:hAnsi="宋体" w:eastAsia="仿宋_GB2312" w:cs="仿宋_GB2312"/>
          <w:color w:val="auto"/>
          <w:sz w:val="32"/>
          <w:szCs w:val="32"/>
        </w:rPr>
        <w:t>3.</w:t>
      </w:r>
      <w:r>
        <w:rPr>
          <w:rFonts w:hint="eastAsia" w:ascii="仿宋_GB2312" w:hAnsi="宋体" w:eastAsia="仿宋_GB2312" w:cs="仿宋_GB2312"/>
          <w:color w:val="auto"/>
          <w:sz w:val="32"/>
          <w:szCs w:val="32"/>
          <w:lang w:eastAsia="zh-CN"/>
        </w:rPr>
        <w:t>2026年</w:t>
      </w:r>
      <w:r>
        <w:rPr>
          <w:rFonts w:hint="eastAsia" w:ascii="仿宋_GB2312" w:hAnsi="宋体" w:eastAsia="仿宋_GB2312" w:cs="仿宋_GB2312"/>
          <w:color w:val="auto"/>
          <w:sz w:val="32"/>
          <w:szCs w:val="32"/>
          <w:lang w:val="en-US" w:eastAsia="zh-CN"/>
        </w:rPr>
        <w:t>春季学期第七周</w:t>
      </w:r>
      <w:r>
        <w:rPr>
          <w:rFonts w:hint="eastAsia" w:ascii="仿宋_GB2312" w:hAnsi="宋体" w:eastAsia="仿宋_GB2312" w:cs="仿宋_GB2312"/>
          <w:color w:val="auto"/>
          <w:sz w:val="32"/>
          <w:szCs w:val="32"/>
        </w:rPr>
        <w:t>前</w:t>
      </w:r>
      <w:r>
        <w:rPr>
          <w:rFonts w:hint="eastAsia" w:ascii="仿宋_GB2312" w:hAnsi="宋体" w:eastAsia="仿宋_GB2312" w:cs="仿宋_GB2312"/>
          <w:color w:val="auto"/>
          <w:sz w:val="32"/>
          <w:szCs w:val="32"/>
          <w:lang w:eastAsia="zh-CN"/>
        </w:rPr>
        <w:t>，</w:t>
      </w:r>
      <w:r>
        <w:rPr>
          <w:rFonts w:hint="eastAsia" w:ascii="仿宋_GB2312" w:hAnsi="宋体" w:eastAsia="仿宋_GB2312"/>
          <w:color w:val="auto"/>
          <w:sz w:val="32"/>
          <w:szCs w:val="32"/>
        </w:rPr>
        <w:t>学院对</w:t>
      </w:r>
      <w:r>
        <w:rPr>
          <w:rFonts w:hint="eastAsia" w:ascii="仿宋_GB2312" w:hAnsi="宋体" w:eastAsia="仿宋_GB2312"/>
          <w:sz w:val="32"/>
          <w:szCs w:val="32"/>
        </w:rPr>
        <w:t>通过主修专业遴选获得主修专业资格的学生名单予以公示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公示期三个工作日</w:t>
      </w:r>
      <w:r>
        <w:rPr>
          <w:rFonts w:hint="eastAsia" w:ascii="仿宋_GB2312" w:hAnsi="宋体" w:eastAsia="仿宋_GB2312"/>
          <w:color w:val="auto"/>
          <w:sz w:val="32"/>
          <w:szCs w:val="32"/>
        </w:rPr>
        <w:t>。</w:t>
      </w:r>
    </w:p>
    <w:p w14:paraId="741748FB">
      <w:pPr>
        <w:pStyle w:val="16"/>
        <w:keepNext w:val="0"/>
        <w:keepLines w:val="0"/>
        <w:pageBreakBefore w:val="0"/>
        <w:widowControl/>
        <w:kinsoku/>
        <w:wordWrap/>
        <w:overflowPunct/>
        <w:topLinePunct w:val="0"/>
        <w:autoSpaceDE/>
        <w:autoSpaceDN/>
        <w:bidi w:val="0"/>
        <w:adjustRightInd/>
        <w:spacing w:line="240" w:lineRule="auto"/>
        <w:ind w:firstLine="640"/>
        <w:textAlignment w:val="auto"/>
        <w:rPr>
          <w:rFonts w:ascii="仿宋_GB2312" w:hAnsi="宋体" w:eastAsia="仿宋_GB2312"/>
          <w:color w:val="auto"/>
          <w:sz w:val="32"/>
          <w:szCs w:val="32"/>
        </w:rPr>
      </w:pPr>
      <w:r>
        <w:rPr>
          <w:rFonts w:hint="eastAsia" w:ascii="仿宋_GB2312" w:hAnsi="宋体" w:eastAsia="仿宋_GB2312" w:cs="仿宋_GB2312"/>
          <w:color w:val="auto"/>
          <w:sz w:val="32"/>
          <w:szCs w:val="32"/>
        </w:rPr>
        <w:t>4.</w:t>
      </w:r>
      <w:r>
        <w:rPr>
          <w:rFonts w:hint="eastAsia" w:ascii="仿宋_GB2312" w:hAnsi="宋体" w:eastAsia="仿宋_GB2312" w:cs="仿宋_GB2312"/>
          <w:color w:val="auto"/>
          <w:sz w:val="32"/>
          <w:szCs w:val="32"/>
          <w:lang w:eastAsia="zh-CN"/>
        </w:rPr>
        <w:t>2026年</w:t>
      </w:r>
      <w:r>
        <w:rPr>
          <w:rFonts w:hint="eastAsia" w:ascii="仿宋_GB2312" w:hAnsi="宋体" w:eastAsia="仿宋_GB2312" w:cs="仿宋_GB2312"/>
          <w:color w:val="auto"/>
          <w:sz w:val="32"/>
          <w:szCs w:val="32"/>
          <w:lang w:val="en-US" w:eastAsia="zh-CN"/>
        </w:rPr>
        <w:t>春季学期第八周</w:t>
      </w:r>
      <w:r>
        <w:rPr>
          <w:rFonts w:hint="eastAsia" w:ascii="仿宋_GB2312" w:hAnsi="宋体" w:eastAsia="仿宋_GB2312" w:cs="仿宋_GB2312"/>
          <w:color w:val="auto"/>
          <w:sz w:val="32"/>
          <w:szCs w:val="32"/>
        </w:rPr>
        <w:t>前，</w:t>
      </w:r>
      <w:r>
        <w:rPr>
          <w:rFonts w:hint="eastAsia" w:ascii="仿宋_GB2312" w:hAnsi="宋体" w:eastAsia="仿宋_GB2312"/>
          <w:color w:val="auto"/>
          <w:sz w:val="32"/>
          <w:szCs w:val="32"/>
        </w:rPr>
        <w:t>学院将最终通过专业遴选的学生名单报送教务处，教务处审核并报送学校批准。</w:t>
      </w:r>
      <w:r>
        <w:rPr>
          <w:rFonts w:hint="eastAsia" w:ascii="仿宋_GB2312" w:hAnsi="宋体" w:eastAsia="仿宋_GB2312"/>
          <w:color w:val="auto"/>
          <w:sz w:val="32"/>
          <w:szCs w:val="32"/>
          <w:lang w:eastAsia="zh-CN"/>
        </w:rPr>
        <w:t>第二批次</w:t>
      </w:r>
      <w:r>
        <w:rPr>
          <w:rFonts w:hint="eastAsia" w:ascii="仿宋_GB2312" w:hAnsi="宋体" w:eastAsia="仿宋_GB2312"/>
          <w:color w:val="auto"/>
          <w:sz w:val="32"/>
          <w:szCs w:val="32"/>
        </w:rPr>
        <w:t>的学籍异动在下学期初进行。</w:t>
      </w:r>
    </w:p>
    <w:p w14:paraId="2C91D364">
      <w:pPr>
        <w:keepNext w:val="0"/>
        <w:keepLines w:val="0"/>
        <w:pageBreakBefore w:val="0"/>
        <w:kinsoku/>
        <w:wordWrap/>
        <w:overflowPunct/>
        <w:topLinePunct w:val="0"/>
        <w:autoSpaceDE/>
        <w:autoSpaceDN/>
        <w:bidi w:val="0"/>
        <w:adjustRightInd/>
        <w:spacing w:line="240" w:lineRule="auto"/>
        <w:ind w:firstLine="640" w:firstLineChars="200"/>
        <w:jc w:val="left"/>
        <w:textAlignment w:val="auto"/>
        <w:rPr>
          <w:rFonts w:ascii="仿宋_GB2312" w:hAnsi="宋体" w:eastAsia="仿宋_GB2312"/>
          <w:color w:val="auto"/>
          <w:sz w:val="32"/>
          <w:szCs w:val="32"/>
        </w:rPr>
      </w:pPr>
      <w:r>
        <w:rPr>
          <w:rFonts w:hint="eastAsia" w:ascii="仿宋_GB2312" w:hAnsi="宋体" w:eastAsia="仿宋_GB2312"/>
          <w:color w:val="auto"/>
          <w:sz w:val="32"/>
          <w:szCs w:val="32"/>
        </w:rPr>
        <w:t>5.</w:t>
      </w:r>
      <w:r>
        <w:rPr>
          <w:rFonts w:hint="eastAsia" w:ascii="仿宋_GB2312" w:hAnsi="宋体" w:eastAsia="仿宋_GB2312"/>
          <w:color w:val="auto"/>
          <w:sz w:val="32"/>
          <w:szCs w:val="32"/>
          <w:lang w:val="en-US" w:eastAsia="zh-CN"/>
        </w:rPr>
        <w:t>2026年春季学期第十周</w:t>
      </w:r>
      <w:r>
        <w:rPr>
          <w:rFonts w:hint="eastAsia" w:ascii="仿宋_GB2312" w:hAnsi="宋体" w:eastAsia="仿宋_GB2312"/>
          <w:color w:val="auto"/>
          <w:sz w:val="32"/>
          <w:szCs w:val="32"/>
        </w:rPr>
        <w:t>前</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学校将</w:t>
      </w:r>
      <w:r>
        <w:rPr>
          <w:rFonts w:hint="eastAsia" w:ascii="仿宋_GB2312" w:hAnsi="宋体" w:eastAsia="仿宋_GB2312"/>
          <w:color w:val="auto"/>
          <w:sz w:val="32"/>
          <w:szCs w:val="32"/>
          <w:lang w:val="en-US" w:eastAsia="zh-CN"/>
        </w:rPr>
        <w:t>第二批</w:t>
      </w:r>
      <w:r>
        <w:rPr>
          <w:rFonts w:hint="eastAsia" w:ascii="仿宋_GB2312" w:hAnsi="宋体" w:eastAsia="仿宋_GB2312"/>
          <w:color w:val="auto"/>
          <w:sz w:val="32"/>
          <w:szCs w:val="32"/>
        </w:rPr>
        <w:t>主修专业确认学生名单发文予以公布。</w:t>
      </w:r>
    </w:p>
    <w:p w14:paraId="117E9E72">
      <w:pPr>
        <w:keepNext w:val="0"/>
        <w:keepLines w:val="0"/>
        <w:pageBreakBefore w:val="0"/>
        <w:kinsoku/>
        <w:wordWrap/>
        <w:overflowPunct/>
        <w:topLinePunct w:val="0"/>
        <w:autoSpaceDE/>
        <w:autoSpaceDN/>
        <w:bidi w:val="0"/>
        <w:adjustRightInd/>
        <w:spacing w:line="240" w:lineRule="auto"/>
        <w:ind w:firstLine="643" w:firstLineChars="200"/>
        <w:jc w:val="left"/>
        <w:textAlignment w:val="auto"/>
        <w:rPr>
          <w:rFonts w:ascii="仿宋_GB2312" w:hAnsi="宋体" w:eastAsia="仿宋_GB2312"/>
          <w:b/>
          <w:color w:val="auto"/>
          <w:sz w:val="32"/>
          <w:szCs w:val="32"/>
        </w:rPr>
      </w:pPr>
      <w:r>
        <w:rPr>
          <w:rFonts w:hint="eastAsia" w:ascii="仿宋_GB2312" w:hAnsi="宋体" w:eastAsia="仿宋_GB2312"/>
          <w:b/>
          <w:color w:val="auto"/>
          <w:sz w:val="32"/>
          <w:szCs w:val="32"/>
        </w:rPr>
        <w:t>四</w:t>
      </w:r>
      <w:r>
        <w:rPr>
          <w:rFonts w:ascii="仿宋_GB2312" w:hAnsi="宋体" w:eastAsia="仿宋_GB2312"/>
          <w:b/>
          <w:color w:val="auto"/>
          <w:sz w:val="32"/>
          <w:szCs w:val="32"/>
        </w:rPr>
        <w:t>、</w:t>
      </w:r>
      <w:r>
        <w:rPr>
          <w:rFonts w:hint="eastAsia" w:ascii="仿宋_GB2312" w:hAnsi="宋体" w:eastAsia="仿宋_GB2312"/>
          <w:b/>
          <w:color w:val="auto"/>
          <w:sz w:val="32"/>
          <w:szCs w:val="32"/>
        </w:rPr>
        <w:t>相关原则要求</w:t>
      </w:r>
    </w:p>
    <w:p w14:paraId="3DD87CC6">
      <w:pPr>
        <w:keepNext w:val="0"/>
        <w:keepLines w:val="0"/>
        <w:pageBreakBefore w:val="0"/>
        <w:kinsoku/>
        <w:wordWrap/>
        <w:overflowPunct/>
        <w:topLinePunct w:val="0"/>
        <w:autoSpaceDE/>
        <w:autoSpaceDN/>
        <w:bidi w:val="0"/>
        <w:adjustRightInd/>
        <w:spacing w:line="240" w:lineRule="auto"/>
        <w:ind w:firstLine="640" w:firstLineChars="200"/>
        <w:textAlignment w:val="auto"/>
        <w:rPr>
          <w:rFonts w:ascii="仿宋_GB2312" w:hAnsi="宋体" w:eastAsia="仿宋_GB2312"/>
          <w:color w:val="auto"/>
          <w:sz w:val="32"/>
          <w:szCs w:val="32"/>
        </w:rPr>
      </w:pPr>
      <w:r>
        <w:rPr>
          <w:rFonts w:hint="eastAsia" w:ascii="仿宋_GB2312" w:hAnsi="仿宋_GB2312" w:eastAsia="仿宋_GB2312" w:cs="仿宋_GB2312"/>
          <w:sz w:val="32"/>
          <w:szCs w:val="32"/>
        </w:rPr>
        <w:t>除</w:t>
      </w: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sz w:val="32"/>
          <w:szCs w:val="32"/>
        </w:rPr>
        <w:t>实施细则中所做的特别规定外，相关遴选原则和条件经公布后不能修改。</w:t>
      </w:r>
    </w:p>
    <w:p w14:paraId="3040774F">
      <w:pPr>
        <w:keepNext w:val="0"/>
        <w:keepLines w:val="0"/>
        <w:pageBreakBefore w:val="0"/>
        <w:kinsoku/>
        <w:wordWrap/>
        <w:overflowPunct/>
        <w:topLinePunct w:val="0"/>
        <w:autoSpaceDE/>
        <w:autoSpaceDN/>
        <w:bidi w:val="0"/>
        <w:adjustRightInd/>
        <w:spacing w:line="240" w:lineRule="auto"/>
        <w:ind w:firstLine="640" w:firstLineChars="200"/>
        <w:jc w:val="left"/>
        <w:textAlignment w:val="auto"/>
        <w:rPr>
          <w:rFonts w:ascii="仿宋_GB2312" w:hAnsi="宋体" w:eastAsia="仿宋_GB2312"/>
          <w:color w:val="auto"/>
          <w:sz w:val="32"/>
          <w:szCs w:val="32"/>
        </w:rPr>
      </w:pPr>
      <w:r>
        <w:rPr>
          <w:rFonts w:hint="eastAsia" w:ascii="仿宋_GB2312" w:hAnsi="宋体" w:eastAsia="仿宋_GB2312"/>
          <w:color w:val="auto"/>
          <w:sz w:val="32"/>
          <w:szCs w:val="32"/>
        </w:rPr>
        <w:t>本实施细则由主修</w:t>
      </w:r>
      <w:r>
        <w:rPr>
          <w:rFonts w:ascii="仿宋_GB2312" w:hAnsi="宋体" w:eastAsia="仿宋_GB2312"/>
          <w:color w:val="auto"/>
          <w:sz w:val="32"/>
          <w:szCs w:val="32"/>
        </w:rPr>
        <w:t>专业确认工作</w:t>
      </w:r>
      <w:r>
        <w:rPr>
          <w:rFonts w:hint="eastAsia" w:ascii="仿宋_GB2312" w:hAnsi="宋体" w:eastAsia="仿宋_GB2312"/>
          <w:color w:val="auto"/>
          <w:sz w:val="32"/>
          <w:szCs w:val="32"/>
        </w:rPr>
        <w:t>委员会负责解释。</w:t>
      </w:r>
    </w:p>
    <w:p w14:paraId="7AD301BC">
      <w:pPr>
        <w:keepNext w:val="0"/>
        <w:keepLines w:val="0"/>
        <w:pageBreakBefore w:val="0"/>
        <w:kinsoku/>
        <w:wordWrap/>
        <w:overflowPunct/>
        <w:topLinePunct w:val="0"/>
        <w:autoSpaceDE/>
        <w:autoSpaceDN/>
        <w:bidi w:val="0"/>
        <w:adjustRightInd/>
        <w:spacing w:line="240" w:lineRule="auto"/>
        <w:jc w:val="left"/>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 xml:space="preserve"> </w:t>
      </w:r>
      <w:r>
        <w:rPr>
          <w:rFonts w:ascii="仿宋_GB2312" w:hAnsi="宋体" w:eastAsia="仿宋_GB2312"/>
          <w:color w:val="auto"/>
          <w:sz w:val="32"/>
          <w:szCs w:val="32"/>
        </w:rPr>
        <w:t xml:space="preserve">                                       </w:t>
      </w:r>
      <w:r>
        <w:rPr>
          <w:rFonts w:hint="eastAsia" w:ascii="仿宋_GB2312" w:hAnsi="宋体" w:eastAsia="仿宋_GB2312"/>
          <w:color w:val="auto"/>
          <w:sz w:val="32"/>
          <w:szCs w:val="32"/>
        </w:rPr>
        <w:t>微电子学院</w:t>
      </w:r>
    </w:p>
    <w:p w14:paraId="20871C8B">
      <w:pPr>
        <w:keepNext w:val="0"/>
        <w:keepLines w:val="0"/>
        <w:pageBreakBefore w:val="0"/>
        <w:kinsoku/>
        <w:wordWrap/>
        <w:overflowPunct/>
        <w:topLinePunct w:val="0"/>
        <w:autoSpaceDE/>
        <w:autoSpaceDN/>
        <w:bidi w:val="0"/>
        <w:adjustRightInd/>
        <w:spacing w:line="240" w:lineRule="auto"/>
        <w:jc w:val="center"/>
        <w:textAlignment w:val="auto"/>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 xml:space="preserve">                                   2024年8月</w:t>
      </w:r>
    </w:p>
    <w:sectPr>
      <w:pgSz w:w="11906" w:h="16838"/>
      <w:pgMar w:top="1660" w:right="1286" w:bottom="173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A72304"/>
    <w:multiLevelType w:val="singleLevel"/>
    <w:tmpl w:val="04A72304"/>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mNDRjODljZTdiNTRlZDU3MDg5MTQ3NGM5NTBkZmEifQ=="/>
  </w:docVars>
  <w:rsids>
    <w:rsidRoot w:val="7FFE592B"/>
    <w:rsid w:val="00023037"/>
    <w:rsid w:val="00042E52"/>
    <w:rsid w:val="00101DDD"/>
    <w:rsid w:val="00187943"/>
    <w:rsid w:val="001C3F93"/>
    <w:rsid w:val="001F5866"/>
    <w:rsid w:val="002138E4"/>
    <w:rsid w:val="0025178A"/>
    <w:rsid w:val="0029662F"/>
    <w:rsid w:val="002C71E3"/>
    <w:rsid w:val="0033471F"/>
    <w:rsid w:val="0038486D"/>
    <w:rsid w:val="003A6C22"/>
    <w:rsid w:val="003F4840"/>
    <w:rsid w:val="00407BA3"/>
    <w:rsid w:val="00446545"/>
    <w:rsid w:val="00451624"/>
    <w:rsid w:val="004961A1"/>
    <w:rsid w:val="004D2D6F"/>
    <w:rsid w:val="00585A06"/>
    <w:rsid w:val="005B5C46"/>
    <w:rsid w:val="005C673E"/>
    <w:rsid w:val="00632175"/>
    <w:rsid w:val="00663B59"/>
    <w:rsid w:val="006778E1"/>
    <w:rsid w:val="00686180"/>
    <w:rsid w:val="006B20E9"/>
    <w:rsid w:val="006F22B7"/>
    <w:rsid w:val="00721363"/>
    <w:rsid w:val="00766408"/>
    <w:rsid w:val="007D6F8B"/>
    <w:rsid w:val="007F79B4"/>
    <w:rsid w:val="00806BAA"/>
    <w:rsid w:val="00812943"/>
    <w:rsid w:val="0090415B"/>
    <w:rsid w:val="00996097"/>
    <w:rsid w:val="00A522EE"/>
    <w:rsid w:val="00AE61F4"/>
    <w:rsid w:val="00AE67E0"/>
    <w:rsid w:val="00B15EDF"/>
    <w:rsid w:val="00B17EA9"/>
    <w:rsid w:val="00B71F97"/>
    <w:rsid w:val="00B836FF"/>
    <w:rsid w:val="00BD5320"/>
    <w:rsid w:val="00BF4FD1"/>
    <w:rsid w:val="00BF77C1"/>
    <w:rsid w:val="00C90481"/>
    <w:rsid w:val="00CD51E2"/>
    <w:rsid w:val="00D13610"/>
    <w:rsid w:val="00D45202"/>
    <w:rsid w:val="00D77C36"/>
    <w:rsid w:val="00DD58A8"/>
    <w:rsid w:val="00E02565"/>
    <w:rsid w:val="00E43F0C"/>
    <w:rsid w:val="00E71CDD"/>
    <w:rsid w:val="00EA7960"/>
    <w:rsid w:val="00F76F05"/>
    <w:rsid w:val="021B3B5B"/>
    <w:rsid w:val="02D24261"/>
    <w:rsid w:val="05C731E9"/>
    <w:rsid w:val="096A7AF4"/>
    <w:rsid w:val="0D9F0B93"/>
    <w:rsid w:val="0EB70211"/>
    <w:rsid w:val="101D0827"/>
    <w:rsid w:val="16DC5CCF"/>
    <w:rsid w:val="17E11427"/>
    <w:rsid w:val="1B8D6E77"/>
    <w:rsid w:val="20320906"/>
    <w:rsid w:val="23D701B6"/>
    <w:rsid w:val="2501471A"/>
    <w:rsid w:val="277349B9"/>
    <w:rsid w:val="29F132A8"/>
    <w:rsid w:val="30430284"/>
    <w:rsid w:val="30A6056F"/>
    <w:rsid w:val="30D70A42"/>
    <w:rsid w:val="33983520"/>
    <w:rsid w:val="38EF71DF"/>
    <w:rsid w:val="3A615F10"/>
    <w:rsid w:val="41DE7B59"/>
    <w:rsid w:val="432A2AB4"/>
    <w:rsid w:val="48BF0BE1"/>
    <w:rsid w:val="493C27CD"/>
    <w:rsid w:val="497915AE"/>
    <w:rsid w:val="4A61533A"/>
    <w:rsid w:val="4E7F10D9"/>
    <w:rsid w:val="4EEE5821"/>
    <w:rsid w:val="51916417"/>
    <w:rsid w:val="525D5FA7"/>
    <w:rsid w:val="52C06513"/>
    <w:rsid w:val="540A6398"/>
    <w:rsid w:val="56A46117"/>
    <w:rsid w:val="5AD56A2C"/>
    <w:rsid w:val="5C182F41"/>
    <w:rsid w:val="5D180940"/>
    <w:rsid w:val="5E923A6E"/>
    <w:rsid w:val="62C03C33"/>
    <w:rsid w:val="689D3DD1"/>
    <w:rsid w:val="6B3E5A96"/>
    <w:rsid w:val="724021C3"/>
    <w:rsid w:val="72CA7962"/>
    <w:rsid w:val="72FA1D6C"/>
    <w:rsid w:val="73D55DAA"/>
    <w:rsid w:val="77A53D06"/>
    <w:rsid w:val="77D43B84"/>
    <w:rsid w:val="7BFC64E0"/>
    <w:rsid w:val="7C9D3D0D"/>
    <w:rsid w:val="7D623825"/>
    <w:rsid w:val="7E182666"/>
    <w:rsid w:val="7FFE5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qFormat/>
    <w:uiPriority w:val="0"/>
    <w:pPr>
      <w:jc w:val="left"/>
    </w:pPr>
  </w:style>
  <w:style w:type="paragraph" w:styleId="3">
    <w:name w:val="Body Text"/>
    <w:basedOn w:val="1"/>
    <w:link w:val="14"/>
    <w:qFormat/>
    <w:uiPriority w:val="0"/>
    <w:rPr>
      <w:rFonts w:ascii="楷体_GB2312" w:eastAsia="楷体_GB2312"/>
      <w:sz w:val="30"/>
      <w:szCs w:val="20"/>
    </w:rPr>
  </w:style>
  <w:style w:type="paragraph" w:styleId="4">
    <w:name w:val="Balloon Text"/>
    <w:basedOn w:val="1"/>
    <w:link w:val="11"/>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9"/>
    <w:qFormat/>
    <w:uiPriority w:val="0"/>
    <w:rPr>
      <w:b/>
      <w:bCs/>
    </w:rPr>
  </w:style>
  <w:style w:type="character" w:styleId="10">
    <w:name w:val="annotation reference"/>
    <w:basedOn w:val="9"/>
    <w:qFormat/>
    <w:uiPriority w:val="0"/>
    <w:rPr>
      <w:sz w:val="21"/>
      <w:szCs w:val="21"/>
    </w:rPr>
  </w:style>
  <w:style w:type="character" w:customStyle="1" w:styleId="11">
    <w:name w:val="批注框文本 字符"/>
    <w:basedOn w:val="9"/>
    <w:link w:val="4"/>
    <w:qFormat/>
    <w:uiPriority w:val="0"/>
    <w:rPr>
      <w:kern w:val="2"/>
      <w:sz w:val="18"/>
      <w:szCs w:val="18"/>
    </w:rPr>
  </w:style>
  <w:style w:type="character" w:customStyle="1" w:styleId="12">
    <w:name w:val="页眉 字符"/>
    <w:basedOn w:val="9"/>
    <w:link w:val="6"/>
    <w:qFormat/>
    <w:uiPriority w:val="0"/>
    <w:rPr>
      <w:kern w:val="2"/>
      <w:sz w:val="18"/>
      <w:szCs w:val="18"/>
    </w:rPr>
  </w:style>
  <w:style w:type="character" w:customStyle="1" w:styleId="13">
    <w:name w:val="页脚 字符"/>
    <w:basedOn w:val="9"/>
    <w:link w:val="5"/>
    <w:qFormat/>
    <w:uiPriority w:val="0"/>
    <w:rPr>
      <w:kern w:val="2"/>
      <w:sz w:val="18"/>
      <w:szCs w:val="18"/>
    </w:rPr>
  </w:style>
  <w:style w:type="character" w:customStyle="1" w:styleId="14">
    <w:name w:val="正文文本 字符"/>
    <w:link w:val="3"/>
    <w:qFormat/>
    <w:uiPriority w:val="0"/>
    <w:rPr>
      <w:rFonts w:ascii="楷体_GB2312" w:eastAsia="楷体_GB2312"/>
      <w:kern w:val="2"/>
      <w:sz w:val="30"/>
    </w:rPr>
  </w:style>
  <w:style w:type="character" w:customStyle="1" w:styleId="15">
    <w:name w:val="正文文本 Char1"/>
    <w:basedOn w:val="9"/>
    <w:qFormat/>
    <w:uiPriority w:val="0"/>
    <w:rPr>
      <w:kern w:val="2"/>
      <w:sz w:val="21"/>
      <w:szCs w:val="24"/>
    </w:rPr>
  </w:style>
  <w:style w:type="paragraph" w:customStyle="1" w:styleId="16">
    <w:name w:val="msolistparagraph"/>
    <w:basedOn w:val="1"/>
    <w:qFormat/>
    <w:uiPriority w:val="0"/>
    <w:pPr>
      <w:ind w:firstLine="420" w:firstLineChars="200"/>
    </w:pPr>
    <w:rPr>
      <w:rFonts w:ascii="Times New Roman" w:hAnsi="Times New Roman" w:eastAsia="宋体" w:cs="Times New Roman"/>
      <w:szCs w:val="20"/>
    </w:rPr>
  </w:style>
  <w:style w:type="paragraph" w:styleId="17">
    <w:name w:val="List Paragraph"/>
    <w:basedOn w:val="1"/>
    <w:qFormat/>
    <w:uiPriority w:val="99"/>
    <w:pPr>
      <w:ind w:firstLine="420" w:firstLineChars="200"/>
    </w:pPr>
  </w:style>
  <w:style w:type="character" w:customStyle="1" w:styleId="18">
    <w:name w:val="批注文字 字符"/>
    <w:basedOn w:val="9"/>
    <w:link w:val="2"/>
    <w:qFormat/>
    <w:uiPriority w:val="0"/>
    <w:rPr>
      <w:kern w:val="2"/>
      <w:sz w:val="21"/>
      <w:szCs w:val="24"/>
    </w:rPr>
  </w:style>
  <w:style w:type="character" w:customStyle="1" w:styleId="19">
    <w:name w:val="批注主题 字符"/>
    <w:basedOn w:val="18"/>
    <w:link w:val="7"/>
    <w:qFormat/>
    <w:uiPriority w:val="0"/>
    <w:rPr>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1286</Words>
  <Characters>1375</Characters>
  <Lines>9</Lines>
  <Paragraphs>2</Paragraphs>
  <TotalTime>18</TotalTime>
  <ScaleCrop>false</ScaleCrop>
  <LinksUpToDate>false</LinksUpToDate>
  <CharactersWithSpaces>1450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2018-07-02T09:40:00Z</dcterms:created>
  <dc:creator>竹子</dc:creator>
  <cp:lastModifiedBy>fog</cp:lastModifiedBy>
  <cp:lastPrinted>2018-04-11T02:55:00Z</cp:lastPrinted>
  <dcterms:modified xsi:type="dcterms:W3CDTF">2024-08-22T09:59:44Z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3A93C3C8489A49419940083A6D7348F3_13</vt:lpwstr>
  </property>
</Properties>
</file>