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7927B">
      <w:pPr>
        <w:spacing w:line="360" w:lineRule="auto"/>
        <w:ind w:firstLine="643" w:firstLineChars="200"/>
        <w:jc w:val="center"/>
        <w:rPr>
          <w:rFonts w:ascii="黑体" w:hAnsi="黑体" w:eastAsia="黑体" w:cs="黑体"/>
          <w:b/>
          <w:sz w:val="32"/>
          <w:szCs w:val="32"/>
        </w:rPr>
      </w:pPr>
      <w:r>
        <w:rPr>
          <w:rFonts w:hint="eastAsia" w:ascii="黑体" w:hAnsi="黑体" w:eastAsia="黑体" w:cs="黑体"/>
          <w:b/>
          <w:sz w:val="32"/>
          <w:szCs w:val="32"/>
        </w:rPr>
        <w:t>精仪学院202</w:t>
      </w:r>
      <w:r>
        <w:rPr>
          <w:rFonts w:hint="eastAsia" w:ascii="黑体" w:hAnsi="黑体" w:eastAsia="黑体" w:cs="黑体"/>
          <w:b/>
          <w:sz w:val="32"/>
          <w:szCs w:val="32"/>
          <w:lang w:val="en-US" w:eastAsia="zh-CN"/>
        </w:rPr>
        <w:t>4</w:t>
      </w:r>
      <w:r>
        <w:rPr>
          <w:rFonts w:hint="eastAsia" w:ascii="黑体" w:hAnsi="黑体" w:eastAsia="黑体" w:cs="黑体"/>
          <w:b/>
          <w:sz w:val="32"/>
          <w:szCs w:val="32"/>
        </w:rPr>
        <w:t>级本科生主修专业确认实施细则</w:t>
      </w:r>
    </w:p>
    <w:p w14:paraId="010C386B">
      <w:pPr>
        <w:spacing w:line="360" w:lineRule="auto"/>
        <w:ind w:firstLine="560" w:firstLineChars="200"/>
        <w:rPr>
          <w:rFonts w:ascii="黑体" w:hAnsi="黑体" w:eastAsia="黑体" w:cstheme="minorEastAsia"/>
          <w:color w:val="000000" w:themeColor="text1"/>
          <w:sz w:val="28"/>
          <w:szCs w:val="28"/>
          <w14:textFill>
            <w14:solidFill>
              <w14:schemeClr w14:val="tx1"/>
            </w14:solidFill>
          </w14:textFill>
        </w:rPr>
      </w:pPr>
      <w:r>
        <w:rPr>
          <w:rFonts w:hint="eastAsia" w:ascii="黑体" w:hAnsi="黑体" w:eastAsia="黑体" w:cstheme="minorEastAsia"/>
          <w:color w:val="000000" w:themeColor="text1"/>
          <w:sz w:val="28"/>
          <w:szCs w:val="28"/>
          <w14:textFill>
            <w14:solidFill>
              <w14:schemeClr w14:val="tx1"/>
            </w14:solidFill>
          </w14:textFill>
        </w:rPr>
        <w:t>一、基本原则</w:t>
      </w:r>
    </w:p>
    <w:p w14:paraId="34E364D9">
      <w:pPr>
        <w:spacing w:line="360" w:lineRule="auto"/>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精仪学院认真贯彻落实天津大学202</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4</w:t>
      </w:r>
      <w:r>
        <w:rPr>
          <w:rFonts w:ascii="Times New Roman" w:hAnsi="Times New Roman" w:eastAsia="宋体" w:cs="Times New Roman"/>
          <w:color w:val="000000" w:themeColor="text1"/>
          <w:sz w:val="28"/>
          <w:szCs w:val="28"/>
          <w14:textFill>
            <w14:solidFill>
              <w14:schemeClr w14:val="tx1"/>
            </w14:solidFill>
          </w14:textFill>
        </w:rPr>
        <w:t>年本科大类招生、大类培养改</w:t>
      </w:r>
      <w:r>
        <w:rPr>
          <w:rFonts w:hint="eastAsia" w:ascii="宋体" w:hAnsi="宋体" w:eastAsia="宋体" w:cstheme="minorEastAsia"/>
          <w:color w:val="000000" w:themeColor="text1"/>
          <w:sz w:val="28"/>
          <w:szCs w:val="28"/>
          <w14:textFill>
            <w14:solidFill>
              <w14:schemeClr w14:val="tx1"/>
            </w14:solidFill>
          </w14:textFill>
        </w:rPr>
        <w:t>革精神，坚持以学生为本，遵循“公平、公正、公开”的原则，确定了</w:t>
      </w:r>
      <w:r>
        <w:rPr>
          <w:rFonts w:ascii="Times New Roman" w:hAnsi="Times New Roman" w:eastAsia="宋体" w:cs="Times New Roman"/>
          <w:color w:val="000000" w:themeColor="text1"/>
          <w:sz w:val="28"/>
          <w:szCs w:val="28"/>
          <w14:textFill>
            <w14:solidFill>
              <w14:schemeClr w14:val="tx1"/>
            </w14:solidFill>
          </w14:textFill>
        </w:rPr>
        <w:t>第一学年结束后确认主修专业的实施方案，即202</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4</w:t>
      </w:r>
      <w:r>
        <w:rPr>
          <w:rFonts w:ascii="Times New Roman" w:hAnsi="Times New Roman" w:cs="Times New Roman"/>
          <w:sz w:val="28"/>
          <w:szCs w:val="28"/>
        </w:rPr>
        <w:t>年以工科试验班（精仪与光电信息类）大类招收</w:t>
      </w:r>
      <w:r>
        <w:rPr>
          <w:rFonts w:ascii="Times New Roman" w:hAnsi="Times New Roman" w:eastAsia="宋体" w:cs="Times New Roman"/>
          <w:color w:val="000000" w:themeColor="text1"/>
          <w:sz w:val="28"/>
          <w:szCs w:val="28"/>
          <w14:textFill>
            <w14:solidFill>
              <w14:schemeClr w14:val="tx1"/>
            </w14:solidFill>
          </w14:textFill>
        </w:rPr>
        <w:t>的学生在完成第一学年大类培养后，在所属类内设置的专业里选择并确认主修专业。</w:t>
      </w:r>
    </w:p>
    <w:p w14:paraId="242B2C66">
      <w:pPr>
        <w:spacing w:line="360" w:lineRule="auto"/>
        <w:ind w:firstLine="560" w:firstLineChars="200"/>
        <w:rPr>
          <w:rFonts w:ascii="黑体" w:hAnsi="黑体" w:eastAsia="黑体" w:cstheme="minorEastAsia"/>
          <w:color w:val="000000" w:themeColor="text1"/>
          <w:sz w:val="28"/>
          <w:szCs w:val="28"/>
          <w14:textFill>
            <w14:solidFill>
              <w14:schemeClr w14:val="tx1"/>
            </w14:solidFill>
          </w14:textFill>
        </w:rPr>
      </w:pPr>
      <w:r>
        <w:rPr>
          <w:rFonts w:hint="eastAsia" w:ascii="黑体" w:hAnsi="黑体" w:eastAsia="黑体" w:cstheme="minorEastAsia"/>
          <w:color w:val="000000" w:themeColor="text1"/>
          <w:sz w:val="28"/>
          <w:szCs w:val="28"/>
          <w14:textFill>
            <w14:solidFill>
              <w14:schemeClr w14:val="tx1"/>
            </w14:solidFill>
          </w14:textFill>
        </w:rPr>
        <w:t>二、组织与领导</w:t>
      </w:r>
    </w:p>
    <w:p w14:paraId="7F0C9639">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学院成立本科生主修专业确认工作委员会，负责202</w:t>
      </w:r>
      <w:r>
        <w:rPr>
          <w:rFonts w:hint="eastAsia" w:ascii="Times New Roman" w:hAnsi="Times New Roman" w:cs="Times New Roman"/>
          <w:sz w:val="28"/>
          <w:szCs w:val="28"/>
          <w:lang w:val="en-US" w:eastAsia="zh-CN"/>
        </w:rPr>
        <w:t>4</w:t>
      </w:r>
      <w:r>
        <w:rPr>
          <w:rFonts w:ascii="Times New Roman" w:hAnsi="Times New Roman" w:cs="Times New Roman"/>
          <w:sz w:val="28"/>
          <w:szCs w:val="28"/>
        </w:rPr>
        <w:t>级本科生主修专业确认的具体工作实施。</w:t>
      </w:r>
    </w:p>
    <w:p w14:paraId="517675F0">
      <w:pPr>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组  长： 邾继贵、刘琨</w:t>
      </w:r>
    </w:p>
    <w:p w14:paraId="6FBA6FF6">
      <w:pPr>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 xml:space="preserve">副组长： </w:t>
      </w:r>
      <w:r>
        <w:rPr>
          <w:rFonts w:hint="eastAsia" w:asciiTheme="minorEastAsia" w:hAnsiTheme="minorEastAsia" w:cstheme="minorEastAsia"/>
          <w:sz w:val="28"/>
          <w:szCs w:val="28"/>
          <w:lang w:val="en-US" w:eastAsia="zh-CN"/>
        </w:rPr>
        <w:t>王鹏</w:t>
      </w:r>
      <w:r>
        <w:rPr>
          <w:rFonts w:hint="eastAsia" w:asciiTheme="minorEastAsia" w:hAnsiTheme="minorEastAsia" w:cstheme="minorEastAsia"/>
          <w:sz w:val="28"/>
          <w:szCs w:val="28"/>
        </w:rPr>
        <w:t>、陆丽、田震、胡春光、</w:t>
      </w:r>
      <w:r>
        <w:rPr>
          <w:rFonts w:hint="eastAsia" w:asciiTheme="minorEastAsia" w:hAnsiTheme="minorEastAsia" w:cstheme="minorEastAsia"/>
          <w:sz w:val="28"/>
          <w:szCs w:val="28"/>
          <w:lang w:val="en-US" w:eastAsia="zh-CN"/>
        </w:rPr>
        <w:t>蒋佳佳、</w:t>
      </w:r>
      <w:r>
        <w:rPr>
          <w:rFonts w:hint="eastAsia" w:asciiTheme="minorEastAsia" w:hAnsiTheme="minorEastAsia" w:cstheme="minorEastAsia"/>
          <w:sz w:val="28"/>
          <w:szCs w:val="28"/>
        </w:rPr>
        <w:t>尤勐</w:t>
      </w:r>
    </w:p>
    <w:p w14:paraId="3DC891B0">
      <w:pPr>
        <w:spacing w:line="360" w:lineRule="auto"/>
        <w:ind w:firstLine="560" w:firstLineChars="200"/>
        <w:jc w:val="left"/>
        <w:rPr>
          <w:rFonts w:hint="eastAsia" w:asciiTheme="minorEastAsia" w:hAnsiTheme="minorEastAsia" w:cstheme="minorEastAsia"/>
          <w:sz w:val="28"/>
          <w:szCs w:val="28"/>
          <w:lang w:val="en-US" w:eastAsia="zh-CN"/>
        </w:rPr>
      </w:pPr>
      <w:r>
        <w:rPr>
          <w:rFonts w:asciiTheme="minorEastAsia" w:hAnsiTheme="minorEastAsia" w:cstheme="minorEastAsia"/>
          <w:sz w:val="28"/>
          <w:szCs w:val="28"/>
        </w:rPr>
        <w:t>委</w:t>
      </w:r>
      <w:r>
        <w:rPr>
          <w:rFonts w:hint="eastAsia" w:asciiTheme="minorEastAsia" w:hAnsiTheme="minorEastAsia" w:cstheme="minorEastAsia"/>
          <w:sz w:val="28"/>
          <w:szCs w:val="28"/>
        </w:rPr>
        <w:t xml:space="preserve">  </w:t>
      </w:r>
      <w:r>
        <w:rPr>
          <w:rFonts w:asciiTheme="minorEastAsia" w:hAnsiTheme="minorEastAsia" w:cstheme="minorEastAsia"/>
          <w:sz w:val="28"/>
          <w:szCs w:val="28"/>
        </w:rPr>
        <w:t>员</w:t>
      </w:r>
      <w:r>
        <w:rPr>
          <w:rFonts w:hint="eastAsia" w:asciiTheme="minorEastAsia" w:hAnsiTheme="minorEastAsia" w:cstheme="minorEastAsia"/>
          <w:sz w:val="28"/>
          <w:szCs w:val="28"/>
        </w:rPr>
        <w:t>： 徐宗伟、黄显、程振洲、宋有建、吴腾飞、李晨曦、张学智、张丽敏、武恩秀</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孙长库、段发阶、张贵忠、胡明列、李健、黄战华、任坤、</w:t>
      </w:r>
      <w:r>
        <w:rPr>
          <w:rFonts w:hint="eastAsia" w:asciiTheme="minorEastAsia" w:hAnsiTheme="minorEastAsia" w:cstheme="minorEastAsia"/>
          <w:sz w:val="28"/>
          <w:szCs w:val="28"/>
          <w:lang w:val="en-US" w:eastAsia="zh-CN"/>
        </w:rPr>
        <w:t>焦璇</w:t>
      </w:r>
    </w:p>
    <w:p w14:paraId="7C7C8BFB">
      <w:pPr>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咨询联系人：王鹤</w:t>
      </w:r>
    </w:p>
    <w:p w14:paraId="6CC618EA">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咨询</w:t>
      </w:r>
      <w:r>
        <w:rPr>
          <w:rFonts w:ascii="Times New Roman" w:hAnsi="Times New Roman" w:cs="Times New Roman"/>
          <w:sz w:val="28"/>
          <w:szCs w:val="28"/>
        </w:rPr>
        <w:t>电话：022-27402574</w:t>
      </w:r>
    </w:p>
    <w:p w14:paraId="3D55371A">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咨询邮箱</w:t>
      </w:r>
      <w:r>
        <w:rPr>
          <w:rFonts w:ascii="Times New Roman" w:hAnsi="Times New Roman" w:cs="Times New Roman"/>
          <w:sz w:val="28"/>
          <w:szCs w:val="28"/>
        </w:rPr>
        <w:t>：</w:t>
      </w:r>
      <w:r>
        <w:rPr>
          <w:rFonts w:hint="eastAsia" w:ascii="Times New Roman" w:hAnsi="Times New Roman" w:cs="Times New Roman"/>
          <w:sz w:val="28"/>
          <w:szCs w:val="28"/>
        </w:rPr>
        <w:t>wanghe8912@tju.edu.cn</w:t>
      </w:r>
    </w:p>
    <w:p w14:paraId="276E57F3">
      <w:pPr>
        <w:spacing w:line="360" w:lineRule="auto"/>
        <w:ind w:firstLine="560" w:firstLineChars="200"/>
        <w:rPr>
          <w:rFonts w:ascii="黑体" w:hAnsi="黑体" w:eastAsia="黑体" w:cstheme="minorEastAsia"/>
          <w:color w:val="000000" w:themeColor="text1"/>
          <w:sz w:val="28"/>
          <w:szCs w:val="28"/>
          <w14:textFill>
            <w14:solidFill>
              <w14:schemeClr w14:val="tx1"/>
            </w14:solidFill>
          </w14:textFill>
        </w:rPr>
      </w:pPr>
      <w:r>
        <w:rPr>
          <w:rFonts w:hint="eastAsia" w:ascii="黑体" w:hAnsi="黑体" w:eastAsia="黑体" w:cstheme="minorEastAsia"/>
          <w:color w:val="000000" w:themeColor="text1"/>
          <w:sz w:val="28"/>
          <w:szCs w:val="28"/>
          <w14:textFill>
            <w14:solidFill>
              <w14:schemeClr w14:val="tx1"/>
            </w14:solidFill>
          </w14:textFill>
        </w:rPr>
        <w:t>三、主修专业确认实施办法</w:t>
      </w:r>
    </w:p>
    <w:p w14:paraId="53140A45">
      <w:pPr>
        <w:spacing w:line="360" w:lineRule="auto"/>
        <w:ind w:firstLine="562" w:firstLineChars="200"/>
        <w:rPr>
          <w:rFonts w:asciiTheme="minorEastAsia" w:hAnsiTheme="minorEastAsia" w:cstheme="minorEastAsia"/>
          <w:b/>
          <w:sz w:val="28"/>
          <w:szCs w:val="28"/>
        </w:rPr>
      </w:pPr>
      <w:r>
        <w:rPr>
          <w:rFonts w:hint="eastAsia" w:asciiTheme="minorEastAsia" w:hAnsiTheme="minorEastAsia" w:cstheme="minorEastAsia"/>
          <w:b/>
          <w:sz w:val="28"/>
          <w:szCs w:val="28"/>
        </w:rPr>
        <w:t>（一）类内各专业基本名额</w:t>
      </w:r>
    </w:p>
    <w:tbl>
      <w:tblPr>
        <w:tblStyle w:val="8"/>
        <w:tblW w:w="8363"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7"/>
        <w:gridCol w:w="4536"/>
      </w:tblGrid>
      <w:tr w14:paraId="4AE74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3827" w:type="dxa"/>
            <w:vAlign w:val="center"/>
          </w:tcPr>
          <w:p w14:paraId="0808D8E0">
            <w:pPr>
              <w:spacing w:line="360" w:lineRule="auto"/>
              <w:jc w:val="center"/>
              <w:rPr>
                <w:rFonts w:asciiTheme="minorEastAsia" w:hAnsiTheme="minorEastAsia"/>
                <w:b/>
                <w:sz w:val="28"/>
                <w:szCs w:val="28"/>
              </w:rPr>
            </w:pPr>
            <w:r>
              <w:rPr>
                <w:rFonts w:hint="eastAsia" w:asciiTheme="minorEastAsia" w:hAnsiTheme="minorEastAsia"/>
                <w:b/>
                <w:sz w:val="28"/>
                <w:szCs w:val="28"/>
              </w:rPr>
              <w:t>类内专业名称</w:t>
            </w:r>
          </w:p>
        </w:tc>
        <w:tc>
          <w:tcPr>
            <w:tcW w:w="4536" w:type="dxa"/>
            <w:vAlign w:val="center"/>
          </w:tcPr>
          <w:p w14:paraId="44780A57">
            <w:pPr>
              <w:spacing w:line="360" w:lineRule="auto"/>
              <w:jc w:val="center"/>
              <w:rPr>
                <w:rFonts w:asciiTheme="minorEastAsia" w:hAnsiTheme="minorEastAsia"/>
                <w:b/>
                <w:sz w:val="28"/>
                <w:szCs w:val="28"/>
              </w:rPr>
            </w:pPr>
            <w:r>
              <w:rPr>
                <w:rFonts w:hint="eastAsia" w:asciiTheme="minorEastAsia" w:hAnsiTheme="minorEastAsia"/>
                <w:b/>
                <w:sz w:val="28"/>
                <w:szCs w:val="28"/>
              </w:rPr>
              <w:t>占大类招生人数比例</w:t>
            </w:r>
          </w:p>
        </w:tc>
      </w:tr>
      <w:tr w14:paraId="1B549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27" w:type="dxa"/>
            <w:vAlign w:val="center"/>
          </w:tcPr>
          <w:p w14:paraId="61A75499">
            <w:pPr>
              <w:spacing w:line="360" w:lineRule="auto"/>
              <w:jc w:val="center"/>
              <w:rPr>
                <w:rFonts w:asciiTheme="minorEastAsia" w:hAnsiTheme="minorEastAsia"/>
                <w:sz w:val="28"/>
                <w:szCs w:val="28"/>
              </w:rPr>
            </w:pPr>
            <w:r>
              <w:rPr>
                <w:rFonts w:hint="eastAsia" w:asciiTheme="minorEastAsia" w:hAnsiTheme="minorEastAsia"/>
                <w:sz w:val="28"/>
                <w:szCs w:val="28"/>
              </w:rPr>
              <w:t>测控技术与仪器</w:t>
            </w:r>
          </w:p>
        </w:tc>
        <w:tc>
          <w:tcPr>
            <w:tcW w:w="4536" w:type="dxa"/>
            <w:vAlign w:val="center"/>
          </w:tcPr>
          <w:p w14:paraId="35ACE3F1">
            <w:pPr>
              <w:spacing w:line="360" w:lineRule="auto"/>
              <w:jc w:val="center"/>
              <w:rPr>
                <w:rFonts w:ascii="Times New Roman" w:hAnsi="Times New Roman" w:cs="Times New Roman"/>
                <w:sz w:val="28"/>
                <w:szCs w:val="28"/>
              </w:rPr>
            </w:pPr>
            <w:r>
              <w:rPr>
                <w:rFonts w:hint="eastAsia" w:ascii="Times New Roman" w:hAnsi="Times New Roman" w:cs="Times New Roman"/>
                <w:sz w:val="28"/>
                <w:szCs w:val="28"/>
              </w:rPr>
              <w:t>3</w:t>
            </w:r>
            <w:r>
              <w:rPr>
                <w:rFonts w:hint="eastAsia" w:ascii="Times New Roman" w:hAnsi="Times New Roman" w:cs="Times New Roman"/>
                <w:sz w:val="28"/>
                <w:szCs w:val="28"/>
                <w:lang w:val="en-US" w:eastAsia="zh-CN"/>
              </w:rPr>
              <w:t>2</w:t>
            </w:r>
            <w:r>
              <w:rPr>
                <w:rFonts w:ascii="Times New Roman" w:hAnsi="Times New Roman" w:cs="Times New Roman"/>
                <w:sz w:val="28"/>
                <w:szCs w:val="28"/>
              </w:rPr>
              <w:t>%</w:t>
            </w:r>
          </w:p>
        </w:tc>
      </w:tr>
      <w:tr w14:paraId="4E153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27" w:type="dxa"/>
            <w:vAlign w:val="center"/>
          </w:tcPr>
          <w:p w14:paraId="6F36FDE3">
            <w:pPr>
              <w:spacing w:line="360" w:lineRule="auto"/>
              <w:jc w:val="center"/>
              <w:rPr>
                <w:rFonts w:asciiTheme="minorEastAsia" w:hAnsiTheme="minorEastAsia"/>
                <w:sz w:val="28"/>
                <w:szCs w:val="28"/>
              </w:rPr>
            </w:pPr>
            <w:r>
              <w:rPr>
                <w:rFonts w:hint="eastAsia" w:asciiTheme="minorEastAsia" w:hAnsiTheme="minorEastAsia"/>
                <w:sz w:val="28"/>
                <w:szCs w:val="28"/>
              </w:rPr>
              <w:t>智能感知工程</w:t>
            </w:r>
          </w:p>
        </w:tc>
        <w:tc>
          <w:tcPr>
            <w:tcW w:w="4536" w:type="dxa"/>
            <w:vAlign w:val="center"/>
          </w:tcPr>
          <w:p w14:paraId="30AEDCF1">
            <w:pPr>
              <w:spacing w:line="360" w:lineRule="auto"/>
              <w:jc w:val="center"/>
              <w:rPr>
                <w:rFonts w:ascii="Times New Roman" w:hAnsi="Times New Roman" w:cs="Times New Roman"/>
                <w:sz w:val="28"/>
                <w:szCs w:val="28"/>
              </w:rPr>
            </w:pPr>
            <w:r>
              <w:rPr>
                <w:rFonts w:hint="eastAsia" w:ascii="Times New Roman" w:hAnsi="Times New Roman" w:cs="Times New Roman"/>
                <w:sz w:val="28"/>
                <w:szCs w:val="28"/>
                <w:lang w:val="en-US" w:eastAsia="zh-CN"/>
              </w:rPr>
              <w:t>18</w:t>
            </w:r>
            <w:r>
              <w:rPr>
                <w:rFonts w:hint="eastAsia" w:ascii="Times New Roman" w:hAnsi="Times New Roman" w:cs="Times New Roman"/>
                <w:sz w:val="28"/>
                <w:szCs w:val="28"/>
              </w:rPr>
              <w:t>%</w:t>
            </w:r>
          </w:p>
        </w:tc>
      </w:tr>
      <w:tr w14:paraId="6F77C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14:paraId="2CBDF164">
            <w:pPr>
              <w:spacing w:line="360" w:lineRule="auto"/>
              <w:jc w:val="center"/>
              <w:rPr>
                <w:rFonts w:asciiTheme="minorEastAsia" w:hAnsiTheme="minorEastAsia"/>
                <w:sz w:val="28"/>
                <w:szCs w:val="28"/>
              </w:rPr>
            </w:pPr>
            <w:r>
              <w:rPr>
                <w:rFonts w:hint="eastAsia" w:asciiTheme="minorEastAsia" w:hAnsiTheme="minorEastAsia"/>
                <w:sz w:val="28"/>
                <w:szCs w:val="28"/>
              </w:rPr>
              <w:t>光电信息科学与工程</w:t>
            </w:r>
          </w:p>
        </w:tc>
        <w:tc>
          <w:tcPr>
            <w:tcW w:w="4536" w:type="dxa"/>
            <w:vAlign w:val="center"/>
          </w:tcPr>
          <w:p w14:paraId="4803CF45">
            <w:pPr>
              <w:spacing w:line="360" w:lineRule="auto"/>
              <w:jc w:val="center"/>
              <w:rPr>
                <w:rFonts w:ascii="Times New Roman" w:hAnsi="Times New Roman" w:cs="Times New Roman"/>
                <w:sz w:val="28"/>
                <w:szCs w:val="28"/>
              </w:rPr>
            </w:pPr>
            <w:r>
              <w:rPr>
                <w:rFonts w:hint="eastAsia" w:ascii="Times New Roman" w:hAnsi="Times New Roman" w:cs="Times New Roman"/>
                <w:sz w:val="28"/>
                <w:szCs w:val="28"/>
                <w:lang w:val="en-US" w:eastAsia="zh-CN"/>
              </w:rPr>
              <w:t>29</w:t>
            </w:r>
            <w:r>
              <w:rPr>
                <w:rFonts w:ascii="Times New Roman" w:hAnsi="Times New Roman" w:cs="Times New Roman"/>
                <w:sz w:val="28"/>
                <w:szCs w:val="28"/>
              </w:rPr>
              <w:t>%</w:t>
            </w:r>
          </w:p>
        </w:tc>
      </w:tr>
      <w:tr w14:paraId="6512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14:paraId="1281BB80">
            <w:pPr>
              <w:spacing w:line="360" w:lineRule="auto"/>
              <w:jc w:val="center"/>
              <w:rPr>
                <w:rFonts w:asciiTheme="minorEastAsia" w:hAnsiTheme="minorEastAsia"/>
                <w:sz w:val="28"/>
                <w:szCs w:val="28"/>
              </w:rPr>
            </w:pPr>
            <w:r>
              <w:rPr>
                <w:rFonts w:hint="eastAsia" w:asciiTheme="minorEastAsia" w:hAnsiTheme="minorEastAsia"/>
                <w:sz w:val="28"/>
                <w:szCs w:val="28"/>
              </w:rPr>
              <w:t>电子科学与技术（光电子）</w:t>
            </w:r>
          </w:p>
        </w:tc>
        <w:tc>
          <w:tcPr>
            <w:tcW w:w="4536" w:type="dxa"/>
            <w:vAlign w:val="center"/>
          </w:tcPr>
          <w:p w14:paraId="09CF24D2">
            <w:pPr>
              <w:spacing w:line="360" w:lineRule="auto"/>
              <w:jc w:val="center"/>
              <w:rPr>
                <w:rFonts w:ascii="Times New Roman" w:hAnsi="Times New Roman" w:cs="Times New Roman"/>
                <w:sz w:val="28"/>
                <w:szCs w:val="28"/>
              </w:rPr>
            </w:pPr>
            <w:r>
              <w:rPr>
                <w:rFonts w:hint="eastAsia" w:ascii="Times New Roman" w:hAnsi="Times New Roman" w:cs="Times New Roman"/>
                <w:sz w:val="28"/>
                <w:szCs w:val="28"/>
                <w:lang w:val="en-US" w:eastAsia="zh-CN"/>
              </w:rPr>
              <w:t>21</w:t>
            </w:r>
            <w:bookmarkStart w:id="0" w:name="_GoBack"/>
            <w:bookmarkEnd w:id="0"/>
            <w:r>
              <w:rPr>
                <w:rFonts w:ascii="Times New Roman" w:hAnsi="Times New Roman" w:cs="Times New Roman"/>
                <w:sz w:val="28"/>
                <w:szCs w:val="28"/>
              </w:rPr>
              <w:t>%</w:t>
            </w:r>
          </w:p>
        </w:tc>
      </w:tr>
      <w:tr w14:paraId="5B63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3827" w:type="dxa"/>
            <w:vAlign w:val="center"/>
          </w:tcPr>
          <w:p w14:paraId="6088D8A6">
            <w:pPr>
              <w:spacing w:line="360" w:lineRule="auto"/>
              <w:jc w:val="center"/>
              <w:rPr>
                <w:rFonts w:asciiTheme="minorEastAsia" w:hAnsiTheme="minorEastAsia"/>
                <w:b/>
                <w:bCs/>
                <w:sz w:val="28"/>
                <w:szCs w:val="28"/>
              </w:rPr>
            </w:pPr>
            <w:r>
              <w:rPr>
                <w:rFonts w:hint="eastAsia" w:asciiTheme="minorEastAsia" w:hAnsiTheme="minorEastAsia"/>
                <w:b/>
                <w:bCs/>
                <w:sz w:val="28"/>
                <w:szCs w:val="28"/>
              </w:rPr>
              <w:t>合计</w:t>
            </w:r>
          </w:p>
        </w:tc>
        <w:tc>
          <w:tcPr>
            <w:tcW w:w="4536" w:type="dxa"/>
            <w:vAlign w:val="center"/>
          </w:tcPr>
          <w:p w14:paraId="354795C0">
            <w:pPr>
              <w:spacing w:line="360" w:lineRule="auto"/>
              <w:jc w:val="center"/>
              <w:rPr>
                <w:rFonts w:ascii="Times New Roman" w:hAnsi="Times New Roman" w:cs="Times New Roman"/>
                <w:sz w:val="28"/>
                <w:szCs w:val="28"/>
              </w:rPr>
            </w:pPr>
            <w:r>
              <w:rPr>
                <w:rFonts w:ascii="Times New Roman" w:hAnsi="Times New Roman" w:cs="Times New Roman"/>
                <w:sz w:val="28"/>
                <w:szCs w:val="28"/>
              </w:rPr>
              <w:t>100</w:t>
            </w:r>
            <w:r>
              <w:rPr>
                <w:rFonts w:hint="eastAsia" w:ascii="Times New Roman" w:hAnsi="Times New Roman" w:cs="Times New Roman"/>
                <w:sz w:val="28"/>
                <w:szCs w:val="28"/>
              </w:rPr>
              <w:t>%</w:t>
            </w:r>
          </w:p>
        </w:tc>
      </w:tr>
    </w:tbl>
    <w:p w14:paraId="4280AAAE">
      <w:pPr>
        <w:spacing w:line="360" w:lineRule="auto"/>
        <w:ind w:firstLine="560" w:firstLineChars="200"/>
        <w:rPr>
          <w:rFonts w:ascii="宋体" w:hAnsi="宋体" w:eastAsia="宋体" w:cstheme="minorEastAsia"/>
          <w:sz w:val="28"/>
          <w:szCs w:val="28"/>
        </w:rPr>
      </w:pPr>
      <w:r>
        <w:rPr>
          <w:rFonts w:ascii="Times New Roman" w:hAnsi="Times New Roman" w:eastAsia="宋体" w:cs="Times New Roman"/>
          <w:sz w:val="28"/>
          <w:szCs w:val="28"/>
        </w:rPr>
        <w:t>说明：</w:t>
      </w:r>
      <w:r>
        <w:rPr>
          <w:rFonts w:hint="eastAsia" w:ascii="Times New Roman" w:hAnsi="Times New Roman" w:eastAsia="宋体" w:cs="Times New Roman"/>
          <w:sz w:val="28"/>
          <w:szCs w:val="28"/>
        </w:rPr>
        <w:t>202</w:t>
      </w:r>
      <w:r>
        <w:rPr>
          <w:rFonts w:hint="eastAsia" w:ascii="Times New Roman" w:hAnsi="Times New Roman" w:eastAsia="宋体" w:cs="Times New Roman"/>
          <w:sz w:val="28"/>
          <w:szCs w:val="28"/>
          <w:lang w:val="en-US" w:eastAsia="zh-CN"/>
        </w:rPr>
        <w:t>4</w:t>
      </w:r>
      <w:r>
        <w:rPr>
          <w:rFonts w:hint="eastAsia" w:ascii="Times New Roman" w:hAnsi="Times New Roman" w:eastAsia="宋体" w:cs="Times New Roman"/>
          <w:sz w:val="28"/>
          <w:szCs w:val="28"/>
        </w:rPr>
        <w:t>级王守融班学生不参与本次主修专业确认，第一学年后进行流转、第二学年后进行流转和主修专业确认，可自由选择类内各专业，均不占用类内专业的基本名额。</w:t>
      </w:r>
    </w:p>
    <w:p w14:paraId="25E505F1">
      <w:pPr>
        <w:spacing w:line="360" w:lineRule="auto"/>
        <w:ind w:firstLine="560" w:firstLineChars="200"/>
        <w:rPr>
          <w:rFonts w:ascii="宋体" w:hAnsi="宋体" w:eastAsia="宋体" w:cstheme="minorEastAsia"/>
          <w:sz w:val="28"/>
          <w:szCs w:val="28"/>
        </w:rPr>
      </w:pPr>
      <w:r>
        <w:rPr>
          <w:rFonts w:hint="eastAsia" w:ascii="宋体" w:hAnsi="宋体" w:eastAsia="宋体" w:cstheme="minorEastAsia"/>
          <w:sz w:val="28"/>
          <w:szCs w:val="28"/>
        </w:rPr>
        <w:t>类内各专业基本名额 =（大类在学学生总数-王守融班人数）× 相应的比例，按四舍五入取整计算。取消</w:t>
      </w:r>
      <w:r>
        <w:rPr>
          <w:rFonts w:ascii="宋体" w:hAnsi="宋体" w:eastAsia="宋体" w:cstheme="minorEastAsia"/>
          <w:sz w:val="28"/>
          <w:szCs w:val="28"/>
        </w:rPr>
        <w:t>入学资格</w:t>
      </w:r>
      <w:r>
        <w:rPr>
          <w:rFonts w:hint="eastAsia" w:ascii="宋体" w:hAnsi="宋体" w:eastAsia="宋体" w:cstheme="minorEastAsia"/>
          <w:sz w:val="28"/>
          <w:szCs w:val="28"/>
        </w:rPr>
        <w:t>、</w:t>
      </w:r>
      <w:r>
        <w:rPr>
          <w:rFonts w:ascii="宋体" w:hAnsi="宋体" w:eastAsia="宋体" w:cstheme="minorEastAsia"/>
          <w:sz w:val="28"/>
          <w:szCs w:val="28"/>
        </w:rPr>
        <w:t>休学、</w:t>
      </w:r>
      <w:r>
        <w:rPr>
          <w:rFonts w:hint="eastAsia" w:ascii="宋体" w:hAnsi="宋体" w:eastAsia="宋体" w:cstheme="minorEastAsia"/>
          <w:sz w:val="28"/>
          <w:szCs w:val="28"/>
        </w:rPr>
        <w:t>已确认转专业等学生</w:t>
      </w:r>
      <w:r>
        <w:rPr>
          <w:rFonts w:ascii="宋体" w:hAnsi="宋体" w:eastAsia="宋体" w:cstheme="minorEastAsia"/>
          <w:sz w:val="28"/>
          <w:szCs w:val="28"/>
        </w:rPr>
        <w:t>不计入基数。</w:t>
      </w:r>
    </w:p>
    <w:p w14:paraId="1695C61E">
      <w:pPr>
        <w:spacing w:line="360" w:lineRule="auto"/>
        <w:ind w:firstLine="562" w:firstLineChars="200"/>
        <w:rPr>
          <w:rFonts w:asciiTheme="minorEastAsia" w:hAnsiTheme="minorEastAsia" w:cstheme="minorEastAsia"/>
          <w:b/>
          <w:sz w:val="28"/>
          <w:szCs w:val="28"/>
        </w:rPr>
      </w:pPr>
      <w:r>
        <w:rPr>
          <w:rFonts w:hint="eastAsia" w:asciiTheme="minorEastAsia" w:hAnsiTheme="minorEastAsia" w:cstheme="minorEastAsia"/>
          <w:b/>
          <w:sz w:val="28"/>
          <w:szCs w:val="28"/>
        </w:rPr>
        <w:t>（二）主修专业确认遴选原则</w:t>
      </w:r>
    </w:p>
    <w:p w14:paraId="17B9198E">
      <w:pPr>
        <w:spacing w:line="360" w:lineRule="auto"/>
        <w:ind w:firstLine="560" w:firstLineChars="200"/>
        <w:rPr>
          <w:rFonts w:ascii="宋体" w:hAnsi="宋体" w:eastAsia="宋体" w:cstheme="minorEastAsia"/>
          <w:bCs/>
          <w:sz w:val="28"/>
          <w:szCs w:val="28"/>
        </w:rPr>
      </w:pPr>
      <w:r>
        <w:rPr>
          <w:rFonts w:hint="eastAsia" w:ascii="宋体" w:hAnsi="宋体" w:eastAsia="宋体" w:cstheme="minorEastAsia"/>
          <w:bCs/>
          <w:sz w:val="28"/>
          <w:szCs w:val="28"/>
        </w:rPr>
        <w:t>类内各专业均为国家级一流本科专业建设点，所属学科在国内也一直处于前列，主修专业确认将按照“成绩优先、遵循志愿”和“学业帮扶、协同发展”两个基本原则来实施。各专业基本名额包括两部分：排序分配名额（9</w:t>
      </w:r>
      <w:r>
        <w:rPr>
          <w:rFonts w:ascii="宋体" w:hAnsi="宋体" w:eastAsia="宋体" w:cstheme="minorEastAsia"/>
          <w:bCs/>
          <w:sz w:val="28"/>
          <w:szCs w:val="28"/>
        </w:rPr>
        <w:t>0</w:t>
      </w:r>
      <w:r>
        <w:rPr>
          <w:rFonts w:hint="eastAsia" w:ascii="宋体" w:hAnsi="宋体" w:eastAsia="宋体" w:cstheme="minorEastAsia"/>
          <w:bCs/>
          <w:sz w:val="28"/>
          <w:szCs w:val="28"/>
        </w:rPr>
        <w:t>%）和随机分配名额（1</w:t>
      </w:r>
      <w:r>
        <w:rPr>
          <w:rFonts w:ascii="宋体" w:hAnsi="宋体" w:eastAsia="宋体" w:cstheme="minorEastAsia"/>
          <w:bCs/>
          <w:sz w:val="28"/>
          <w:szCs w:val="28"/>
        </w:rPr>
        <w:t>0</w:t>
      </w:r>
      <w:r>
        <w:rPr>
          <w:rFonts w:hint="eastAsia" w:ascii="宋体" w:hAnsi="宋体" w:eastAsia="宋体" w:cstheme="minorEastAsia"/>
          <w:bCs/>
          <w:sz w:val="28"/>
          <w:szCs w:val="28"/>
        </w:rPr>
        <w:t>%）。对于排序分配名额，按照“成绩优先、遵循志愿”的原则，成绩从</w:t>
      </w:r>
      <w:r>
        <w:rPr>
          <w:rFonts w:ascii="宋体" w:hAnsi="宋体" w:eastAsia="宋体" w:cstheme="minorEastAsia"/>
          <w:bCs/>
          <w:sz w:val="28"/>
          <w:szCs w:val="28"/>
        </w:rPr>
        <w:t>高到低</w:t>
      </w:r>
      <w:r>
        <w:rPr>
          <w:rFonts w:hint="eastAsia" w:ascii="宋体" w:hAnsi="宋体" w:eastAsia="宋体" w:cstheme="minorEastAsia"/>
          <w:bCs/>
          <w:sz w:val="28"/>
          <w:szCs w:val="28"/>
        </w:rPr>
        <w:t>进行确认遴选；对于随机分配名额，按照“学业帮扶、协同发展”的原则来实施。</w:t>
      </w:r>
    </w:p>
    <w:p w14:paraId="5B6E2768">
      <w:pPr>
        <w:spacing w:line="360" w:lineRule="auto"/>
        <w:ind w:firstLine="560" w:firstLineChars="200"/>
        <w:rPr>
          <w:rFonts w:ascii="宋体" w:hAnsi="宋体" w:eastAsia="宋体" w:cstheme="minorEastAsia"/>
          <w:bCs/>
          <w:sz w:val="28"/>
          <w:szCs w:val="28"/>
        </w:rPr>
      </w:pPr>
      <w:r>
        <w:rPr>
          <w:rFonts w:hint="eastAsia" w:ascii="宋体" w:hAnsi="宋体" w:eastAsia="宋体" w:cstheme="minorEastAsia"/>
          <w:bCs/>
          <w:sz w:val="28"/>
          <w:szCs w:val="28"/>
        </w:rPr>
        <w:t>具体实施办法如下：</w:t>
      </w:r>
    </w:p>
    <w:p w14:paraId="139D865B">
      <w:pPr>
        <w:pStyle w:val="17"/>
        <w:numPr>
          <w:ilvl w:val="0"/>
          <w:numId w:val="1"/>
        </w:numPr>
        <w:spacing w:line="360" w:lineRule="auto"/>
        <w:ind w:left="0" w:firstLine="560"/>
        <w:rPr>
          <w:rFonts w:ascii="宋体" w:hAnsi="宋体" w:eastAsia="宋体" w:cstheme="minorEastAsia"/>
          <w:bCs/>
          <w:sz w:val="28"/>
          <w:szCs w:val="28"/>
        </w:rPr>
      </w:pPr>
      <w:r>
        <w:rPr>
          <w:rFonts w:hint="eastAsia" w:ascii="宋体" w:hAnsi="宋体" w:eastAsia="宋体" w:cstheme="minorEastAsia"/>
          <w:bCs/>
          <w:sz w:val="28"/>
          <w:szCs w:val="28"/>
        </w:rPr>
        <w:t>所有学生按照第一学年部分</w:t>
      </w:r>
      <w:r>
        <w:rPr>
          <w:rFonts w:ascii="宋体" w:hAnsi="宋体" w:eastAsia="宋体" w:cstheme="minorEastAsia"/>
          <w:bCs/>
          <w:sz w:val="28"/>
          <w:szCs w:val="28"/>
        </w:rPr>
        <w:t>必修课</w:t>
      </w:r>
      <w:r>
        <w:rPr>
          <w:rFonts w:hint="eastAsia" w:ascii="宋体" w:hAnsi="宋体" w:eastAsia="宋体" w:cstheme="minorEastAsia"/>
          <w:bCs/>
          <w:sz w:val="28"/>
          <w:szCs w:val="28"/>
        </w:rPr>
        <w:t>的学习成绩进行排序，总成绩相同时，再按照数学类和物理类课程成绩之和进行排序；</w:t>
      </w:r>
      <w:r>
        <w:rPr>
          <w:rFonts w:ascii="宋体" w:hAnsi="宋体" w:eastAsia="宋体" w:cstheme="minorEastAsia"/>
          <w:bCs/>
          <w:sz w:val="28"/>
          <w:szCs w:val="28"/>
        </w:rPr>
        <w:t xml:space="preserve"> </w:t>
      </w:r>
    </w:p>
    <w:p w14:paraId="5640B132">
      <w:pPr>
        <w:spacing w:line="360" w:lineRule="auto"/>
        <w:ind w:firstLine="560" w:firstLineChars="200"/>
        <w:rPr>
          <w:rFonts w:ascii="Times New Roman" w:hAnsi="Times New Roman" w:eastAsia="宋体" w:cs="Times New Roman"/>
          <w:bCs/>
          <w:sz w:val="28"/>
          <w:szCs w:val="28"/>
        </w:rPr>
      </w:pPr>
      <w:r>
        <w:rPr>
          <w:rFonts w:hint="eastAsia" w:ascii="Times New Roman" w:hAnsi="Times New Roman" w:eastAsia="宋体" w:cs="Times New Roman"/>
          <w:sz w:val="28"/>
          <w:szCs w:val="28"/>
        </w:rPr>
        <w:t>参与</w:t>
      </w:r>
      <w:r>
        <w:rPr>
          <w:rFonts w:ascii="Times New Roman" w:hAnsi="Times New Roman" w:eastAsia="宋体" w:cs="Times New Roman"/>
          <w:bCs/>
          <w:sz w:val="28"/>
          <w:szCs w:val="28"/>
        </w:rPr>
        <w:t>学习成绩</w:t>
      </w:r>
      <w:r>
        <w:rPr>
          <w:rFonts w:hint="eastAsia" w:ascii="Times New Roman" w:hAnsi="Times New Roman" w:eastAsia="宋体" w:cs="Times New Roman"/>
          <w:bCs/>
          <w:sz w:val="28"/>
          <w:szCs w:val="28"/>
        </w:rPr>
        <w:t>计算</w:t>
      </w:r>
      <w:r>
        <w:rPr>
          <w:rFonts w:ascii="Times New Roman" w:hAnsi="Times New Roman" w:eastAsia="宋体" w:cs="Times New Roman"/>
          <w:bCs/>
          <w:sz w:val="28"/>
          <w:szCs w:val="28"/>
        </w:rPr>
        <w:t>的必修课</w:t>
      </w:r>
      <w:r>
        <w:rPr>
          <w:rFonts w:hint="eastAsia" w:ascii="Times New Roman" w:hAnsi="Times New Roman" w:eastAsia="宋体" w:cs="Times New Roman"/>
          <w:bCs/>
          <w:sz w:val="28"/>
          <w:szCs w:val="28"/>
        </w:rPr>
        <w:t>有6门</w:t>
      </w:r>
      <w:r>
        <w:rPr>
          <w:rFonts w:ascii="Times New Roman" w:hAnsi="Times New Roman" w:eastAsia="宋体" w:cs="Times New Roman"/>
          <w:bCs/>
          <w:sz w:val="28"/>
          <w:szCs w:val="28"/>
        </w:rPr>
        <w:t>：数学类课程（</w:t>
      </w:r>
      <w:r>
        <w:rPr>
          <w:rFonts w:hint="eastAsia" w:ascii="Times New Roman" w:hAnsi="Times New Roman" w:eastAsia="宋体" w:cs="Times New Roman"/>
          <w:b/>
          <w:sz w:val="28"/>
          <w:szCs w:val="28"/>
        </w:rPr>
        <w:t>微积分I</w:t>
      </w:r>
      <w:r>
        <w:rPr>
          <w:rFonts w:ascii="Times New Roman" w:hAnsi="Times New Roman" w:eastAsia="宋体" w:cs="Times New Roman"/>
          <w:b/>
          <w:sz w:val="28"/>
          <w:szCs w:val="28"/>
        </w:rPr>
        <w:t>，</w:t>
      </w:r>
      <w:r>
        <w:rPr>
          <w:rFonts w:hint="eastAsia" w:ascii="Times New Roman" w:hAnsi="Times New Roman" w:eastAsia="宋体" w:cs="Times New Roman"/>
          <w:b/>
          <w:sz w:val="28"/>
          <w:szCs w:val="28"/>
        </w:rPr>
        <w:t>微积分II</w:t>
      </w:r>
      <w:r>
        <w:rPr>
          <w:rFonts w:ascii="Times New Roman" w:hAnsi="Times New Roman" w:eastAsia="宋体" w:cs="Times New Roman"/>
          <w:b/>
          <w:sz w:val="28"/>
          <w:szCs w:val="28"/>
        </w:rPr>
        <w:t>，线性代数及其应用</w:t>
      </w:r>
      <w:r>
        <w:rPr>
          <w:rFonts w:ascii="Times New Roman" w:hAnsi="Times New Roman" w:eastAsia="宋体" w:cs="Times New Roman"/>
          <w:bCs/>
          <w:sz w:val="28"/>
          <w:szCs w:val="28"/>
        </w:rPr>
        <w:t>）</w:t>
      </w:r>
      <w:r>
        <w:rPr>
          <w:rFonts w:hint="eastAsia" w:ascii="Times New Roman" w:hAnsi="Times New Roman" w:eastAsia="宋体" w:cs="Times New Roman"/>
          <w:bCs/>
          <w:sz w:val="28"/>
          <w:szCs w:val="28"/>
        </w:rPr>
        <w:t>；</w:t>
      </w:r>
      <w:r>
        <w:rPr>
          <w:rFonts w:ascii="Times New Roman" w:hAnsi="Times New Roman" w:eastAsia="宋体" w:cs="Times New Roman"/>
          <w:bCs/>
          <w:sz w:val="28"/>
          <w:szCs w:val="28"/>
        </w:rPr>
        <w:t>物理类课程（</w:t>
      </w:r>
      <w:r>
        <w:rPr>
          <w:rFonts w:hint="eastAsia" w:ascii="Times New Roman" w:hAnsi="Times New Roman" w:eastAsia="宋体" w:cs="Times New Roman"/>
          <w:b/>
          <w:sz w:val="28"/>
          <w:szCs w:val="28"/>
        </w:rPr>
        <w:t>物理基础</w:t>
      </w:r>
      <w:r>
        <w:rPr>
          <w:rFonts w:ascii="Times New Roman" w:hAnsi="Times New Roman" w:eastAsia="宋体" w:cs="Times New Roman"/>
          <w:b/>
          <w:sz w:val="28"/>
          <w:szCs w:val="28"/>
        </w:rPr>
        <w:t>A</w:t>
      </w:r>
      <w:r>
        <w:rPr>
          <w:rFonts w:ascii="Times New Roman" w:hAnsi="Times New Roman" w:eastAsia="宋体" w:cs="Times New Roman"/>
          <w:bCs/>
          <w:sz w:val="28"/>
          <w:szCs w:val="28"/>
        </w:rPr>
        <w:t>）</w:t>
      </w:r>
      <w:r>
        <w:rPr>
          <w:rFonts w:hint="eastAsia" w:ascii="Times New Roman" w:hAnsi="Times New Roman" w:eastAsia="宋体" w:cs="Times New Roman"/>
          <w:bCs/>
          <w:sz w:val="28"/>
          <w:szCs w:val="28"/>
        </w:rPr>
        <w:t>；</w:t>
      </w:r>
      <w:r>
        <w:rPr>
          <w:rFonts w:hint="eastAsia" w:ascii="Times New Roman" w:hAnsi="Times New Roman" w:eastAsia="宋体" w:cs="Times New Roman"/>
          <w:sz w:val="28"/>
          <w:szCs w:val="28"/>
        </w:rPr>
        <w:t>学科</w:t>
      </w:r>
      <w:r>
        <w:rPr>
          <w:rFonts w:ascii="Times New Roman" w:hAnsi="Times New Roman" w:eastAsia="宋体" w:cs="Times New Roman"/>
          <w:sz w:val="28"/>
          <w:szCs w:val="28"/>
        </w:rPr>
        <w:t>基础</w:t>
      </w:r>
      <w:r>
        <w:rPr>
          <w:rFonts w:hint="eastAsia" w:ascii="Times New Roman" w:hAnsi="Times New Roman" w:eastAsia="宋体" w:cs="Times New Roman"/>
          <w:sz w:val="28"/>
          <w:szCs w:val="28"/>
        </w:rPr>
        <w:t>类</w:t>
      </w:r>
      <w:r>
        <w:rPr>
          <w:rFonts w:ascii="Times New Roman" w:hAnsi="Times New Roman" w:eastAsia="宋体" w:cs="Times New Roman"/>
          <w:sz w:val="28"/>
          <w:szCs w:val="28"/>
        </w:rPr>
        <w:t>课程</w:t>
      </w:r>
      <w:r>
        <w:rPr>
          <w:rFonts w:ascii="Times New Roman" w:hAnsi="Times New Roman" w:eastAsia="宋体" w:cs="Times New Roman"/>
          <w:b/>
          <w:sz w:val="28"/>
          <w:szCs w:val="28"/>
        </w:rPr>
        <w:t>（工程制图基础3，电路信号与系统）</w:t>
      </w:r>
      <w:r>
        <w:rPr>
          <w:rFonts w:hint="eastAsia" w:ascii="Times New Roman" w:hAnsi="Times New Roman" w:eastAsia="宋体" w:cs="Times New Roman"/>
          <w:bCs/>
          <w:sz w:val="28"/>
          <w:szCs w:val="28"/>
        </w:rPr>
        <w:t>。</w:t>
      </w:r>
    </w:p>
    <w:p w14:paraId="33A73136">
      <w:pPr>
        <w:spacing w:line="360" w:lineRule="auto"/>
        <w:ind w:firstLine="562" w:firstLineChars="200"/>
        <w:rPr>
          <w:rFonts w:hint="eastAsia" w:ascii="Times New Roman" w:hAnsi="Times New Roman" w:eastAsia="宋体" w:cs="Times New Roman"/>
          <w:bCs/>
          <w:sz w:val="28"/>
          <w:szCs w:val="28"/>
        </w:rPr>
      </w:pPr>
      <w:r>
        <w:rPr>
          <w:rFonts w:hint="eastAsia" w:ascii="Times New Roman" w:hAnsi="Times New Roman" w:eastAsia="宋体" w:cs="Times New Roman"/>
          <w:b/>
          <w:bCs w:val="0"/>
          <w:color w:val="000000" w:themeColor="text1"/>
          <w:sz w:val="28"/>
          <w:szCs w:val="28"/>
          <w14:textFill>
            <w14:solidFill>
              <w14:schemeClr w14:val="tx1"/>
            </w14:solidFill>
          </w14:textFill>
        </w:rPr>
        <w:t>思想政治理论类</w:t>
      </w:r>
      <w:r>
        <w:rPr>
          <w:rFonts w:hint="eastAsia" w:ascii="Times New Roman" w:hAnsi="Times New Roman" w:eastAsia="宋体" w:cs="Times New Roman"/>
          <w:b/>
          <w:bCs w:val="0"/>
          <w:sz w:val="28"/>
          <w:szCs w:val="28"/>
        </w:rPr>
        <w:t>课程</w:t>
      </w:r>
      <w:r>
        <w:rPr>
          <w:rFonts w:hint="eastAsia" w:ascii="Times New Roman" w:hAnsi="Times New Roman" w:eastAsia="宋体" w:cs="Times New Roman"/>
          <w:bCs/>
          <w:sz w:val="28"/>
          <w:szCs w:val="28"/>
        </w:rPr>
        <w:t>（</w:t>
      </w:r>
      <w:r>
        <w:rPr>
          <w:rFonts w:hint="eastAsia" w:ascii="Times New Roman" w:hAnsi="Times New Roman" w:eastAsia="宋体" w:cs="Times New Roman"/>
          <w:b w:val="0"/>
          <w:bCs/>
          <w:sz w:val="28"/>
          <w:szCs w:val="28"/>
        </w:rPr>
        <w:t>思想道德与法治，中国近现代史纲要</w:t>
      </w:r>
      <w:r>
        <w:rPr>
          <w:rFonts w:hint="eastAsia" w:ascii="Times New Roman" w:hAnsi="Times New Roman" w:eastAsia="宋体" w:cs="Times New Roman"/>
          <w:bCs/>
          <w:sz w:val="28"/>
          <w:szCs w:val="28"/>
        </w:rPr>
        <w:t>）或</w:t>
      </w:r>
      <w:r>
        <w:rPr>
          <w:rFonts w:hint="eastAsia" w:ascii="Times New Roman" w:hAnsi="Times New Roman" w:eastAsia="宋体" w:cs="Times New Roman"/>
          <w:b/>
          <w:bCs w:val="0"/>
          <w:sz w:val="28"/>
          <w:szCs w:val="28"/>
        </w:rPr>
        <w:t>外语类课程</w:t>
      </w:r>
      <w:r>
        <w:rPr>
          <w:rFonts w:hint="eastAsia" w:ascii="Times New Roman" w:hAnsi="Times New Roman" w:eastAsia="宋体" w:cs="Times New Roman"/>
          <w:bCs/>
          <w:sz w:val="28"/>
          <w:szCs w:val="28"/>
        </w:rPr>
        <w:t>有不及格的同学，其排序在这两类课程无不及格同学之后，这部分同学再按上述学习成绩进行排序。</w:t>
      </w:r>
    </w:p>
    <w:p w14:paraId="553163AD">
      <w:pPr>
        <w:spacing w:line="360" w:lineRule="auto"/>
        <w:ind w:firstLine="560" w:firstLineChars="200"/>
        <w:rPr>
          <w:rFonts w:hint="eastAsia" w:ascii="Times New Roman" w:hAnsi="Times New Roman" w:eastAsia="宋体" w:cs="Times New Roman"/>
          <w:bCs/>
          <w:sz w:val="28"/>
          <w:szCs w:val="28"/>
          <w:lang w:val="en-US" w:eastAsia="zh-CN"/>
        </w:rPr>
      </w:pPr>
      <w:r>
        <w:rPr>
          <w:rFonts w:hint="eastAsia" w:ascii="Times New Roman" w:hAnsi="Times New Roman" w:eastAsia="宋体" w:cs="Times New Roman"/>
          <w:bCs/>
          <w:sz w:val="28"/>
          <w:szCs w:val="28"/>
        </w:rPr>
        <w:t>所有课程按照首次成绩参与计算，缓考课程无成绩，按零分参与计算</w:t>
      </w:r>
      <w:r>
        <w:rPr>
          <w:rFonts w:hint="eastAsia" w:ascii="Times New Roman" w:hAnsi="Times New Roman" w:eastAsia="宋体" w:cs="Times New Roman"/>
          <w:bCs/>
          <w:sz w:val="28"/>
          <w:szCs w:val="28"/>
          <w:lang w:eastAsia="zh-CN"/>
        </w:rPr>
        <w:t>。</w:t>
      </w:r>
    </w:p>
    <w:p w14:paraId="27E4F8D1">
      <w:pPr>
        <w:pStyle w:val="17"/>
        <w:numPr>
          <w:ilvl w:val="0"/>
          <w:numId w:val="1"/>
        </w:numPr>
        <w:spacing w:line="360" w:lineRule="auto"/>
        <w:ind w:left="0" w:firstLine="560"/>
        <w:rPr>
          <w:rFonts w:ascii="宋体" w:hAnsi="宋体" w:eastAsia="宋体" w:cstheme="minorEastAsia"/>
          <w:bCs/>
          <w:sz w:val="28"/>
          <w:szCs w:val="28"/>
        </w:rPr>
      </w:pPr>
      <w:r>
        <w:rPr>
          <w:rFonts w:hint="eastAsia" w:ascii="宋体" w:hAnsi="宋体" w:eastAsia="宋体" w:cstheme="minorEastAsia"/>
          <w:bCs/>
          <w:sz w:val="28"/>
          <w:szCs w:val="28"/>
        </w:rPr>
        <w:t>第一阶段按照成绩排序进行主修专业确认，各专业学生确认人数受排序分配名额限制。当类内某专业的排序分配名额达到时，该专业从可选择的专业列表中移除，即排序在后的学生不能再进入已移除专业。该阶段完成大类9</w:t>
      </w:r>
      <w:r>
        <w:rPr>
          <w:rFonts w:ascii="宋体" w:hAnsi="宋体" w:eastAsia="宋体" w:cstheme="minorEastAsia"/>
          <w:bCs/>
          <w:sz w:val="28"/>
          <w:szCs w:val="28"/>
        </w:rPr>
        <w:t>0</w:t>
      </w:r>
      <w:r>
        <w:rPr>
          <w:rFonts w:hint="eastAsia" w:ascii="宋体" w:hAnsi="宋体" w:eastAsia="宋体" w:cstheme="minorEastAsia"/>
          <w:bCs/>
          <w:sz w:val="28"/>
          <w:szCs w:val="28"/>
        </w:rPr>
        <w:t>%学生的主修专业确定。</w:t>
      </w:r>
    </w:p>
    <w:p w14:paraId="723707F8">
      <w:pPr>
        <w:pStyle w:val="17"/>
        <w:numPr>
          <w:ilvl w:val="0"/>
          <w:numId w:val="1"/>
        </w:numPr>
        <w:spacing w:line="360" w:lineRule="auto"/>
        <w:ind w:left="0" w:firstLine="560"/>
        <w:rPr>
          <w:rFonts w:ascii="宋体" w:hAnsi="宋体" w:eastAsia="宋体" w:cstheme="minorEastAsia"/>
          <w:bCs/>
          <w:sz w:val="28"/>
          <w:szCs w:val="28"/>
        </w:rPr>
      </w:pPr>
      <w:r>
        <w:rPr>
          <w:rFonts w:hint="eastAsia" w:ascii="宋体" w:hAnsi="宋体" w:eastAsia="宋体" w:cstheme="minorEastAsia"/>
          <w:bCs/>
          <w:sz w:val="28"/>
          <w:szCs w:val="28"/>
        </w:rPr>
        <w:t>第二阶段对剩余1</w:t>
      </w:r>
      <w:r>
        <w:rPr>
          <w:rFonts w:ascii="宋体" w:hAnsi="宋体" w:eastAsia="宋体" w:cstheme="minorEastAsia"/>
          <w:bCs/>
          <w:sz w:val="28"/>
          <w:szCs w:val="28"/>
        </w:rPr>
        <w:t>0</w:t>
      </w:r>
      <w:r>
        <w:rPr>
          <w:rFonts w:hint="eastAsia" w:ascii="宋体" w:hAnsi="宋体" w:eastAsia="宋体" w:cstheme="minorEastAsia"/>
          <w:bCs/>
          <w:sz w:val="28"/>
          <w:szCs w:val="28"/>
        </w:rPr>
        <w:t>%学生进行随机专业分配，各专业学生确认人数受随机分配名额限制。</w:t>
      </w:r>
    </w:p>
    <w:p w14:paraId="1313E14C">
      <w:pPr>
        <w:spacing w:line="360" w:lineRule="auto"/>
        <w:ind w:firstLine="562" w:firstLineChars="200"/>
        <w:rPr>
          <w:rFonts w:asciiTheme="minorEastAsia" w:hAnsiTheme="minorEastAsia" w:cstheme="minorEastAsia"/>
          <w:b/>
          <w:sz w:val="28"/>
          <w:szCs w:val="28"/>
        </w:rPr>
      </w:pPr>
      <w:r>
        <w:rPr>
          <w:rFonts w:hint="eastAsia" w:asciiTheme="minorEastAsia" w:hAnsiTheme="minorEastAsia" w:cstheme="minorEastAsia"/>
          <w:b/>
          <w:sz w:val="28"/>
          <w:szCs w:val="28"/>
        </w:rPr>
        <w:t>（三）主修专业确认工作时间安排</w:t>
      </w:r>
    </w:p>
    <w:p w14:paraId="75390093">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color w:val="000000" w:themeColor="text1"/>
          <w:sz w:val="28"/>
          <w:szCs w:val="28"/>
          <w14:textFill>
            <w14:solidFill>
              <w14:schemeClr w14:val="tx1"/>
            </w14:solidFill>
          </w14:textFill>
        </w:rPr>
        <w:t>2</w:t>
      </w:r>
      <w:r>
        <w:rPr>
          <w:rFonts w:ascii="Times New Roman" w:hAnsi="Times New Roman" w:cs="Times New Roman"/>
          <w:color w:val="000000" w:themeColor="text1"/>
          <w:sz w:val="28"/>
          <w:szCs w:val="28"/>
          <w14:textFill>
            <w14:solidFill>
              <w14:schemeClr w14:val="tx1"/>
            </w14:solidFill>
          </w14:textFill>
        </w:rPr>
        <w:t>02</w:t>
      </w:r>
      <w:r>
        <w:rPr>
          <w:rFonts w:hint="eastAsia" w:ascii="Times New Roman" w:hAnsi="Times New Roman" w:cs="Times New Roman"/>
          <w:color w:val="000000" w:themeColor="text1"/>
          <w:sz w:val="28"/>
          <w:szCs w:val="28"/>
          <w:lang w:val="en-US" w:eastAsia="zh-CN"/>
          <w14:textFill>
            <w14:solidFill>
              <w14:schemeClr w14:val="tx1"/>
            </w14:solidFill>
          </w14:textFill>
        </w:rPr>
        <w:t>5</w:t>
      </w:r>
      <w:r>
        <w:rPr>
          <w:rFonts w:hint="eastAsia" w:ascii="Times New Roman" w:hAnsi="Times New Roman" w:cs="Times New Roman"/>
          <w:color w:val="000000" w:themeColor="text1"/>
          <w:sz w:val="28"/>
          <w:szCs w:val="28"/>
          <w14:textFill>
            <w14:solidFill>
              <w14:schemeClr w14:val="tx1"/>
            </w14:solidFill>
          </w14:textFill>
        </w:rPr>
        <w:t>年7月1</w:t>
      </w:r>
      <w:r>
        <w:rPr>
          <w:rFonts w:hint="eastAsia" w:ascii="Times New Roman" w:hAnsi="Times New Roman" w:cs="Times New Roman"/>
          <w:color w:val="000000" w:themeColor="text1"/>
          <w:sz w:val="28"/>
          <w:szCs w:val="28"/>
          <w:lang w:val="en-US" w:eastAsia="zh-CN"/>
          <w14:textFill>
            <w14:solidFill>
              <w14:schemeClr w14:val="tx1"/>
            </w14:solidFill>
          </w14:textFill>
        </w:rPr>
        <w:t>1</w:t>
      </w:r>
      <w:r>
        <w:rPr>
          <w:rFonts w:hint="eastAsia" w:ascii="Times New Roman" w:hAnsi="Times New Roman" w:cs="Times New Roman"/>
          <w:color w:val="000000" w:themeColor="text1"/>
          <w:sz w:val="28"/>
          <w:szCs w:val="28"/>
          <w14:textFill>
            <w14:solidFill>
              <w14:schemeClr w14:val="tx1"/>
            </w14:solidFill>
          </w14:textFill>
        </w:rPr>
        <w:t>日前（具体报名时间再行通知）</w:t>
      </w:r>
      <w:r>
        <w:rPr>
          <w:rFonts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需参与本次主修专业确认的所有</w:t>
      </w:r>
      <w:r>
        <w:rPr>
          <w:rFonts w:ascii="Times New Roman" w:hAnsi="Times New Roman" w:cs="Times New Roman"/>
          <w:color w:val="000000" w:themeColor="text1"/>
          <w:sz w:val="28"/>
          <w:szCs w:val="28"/>
          <w14:textFill>
            <w14:solidFill>
              <w14:schemeClr w14:val="tx1"/>
            </w14:solidFill>
          </w14:textFill>
        </w:rPr>
        <w:t>学生必须登录教育教学信息管理系统进行网上报名（</w:t>
      </w:r>
      <w:r>
        <w:rPr>
          <w:rFonts w:hint="eastAsia" w:ascii="Times New Roman" w:hAnsi="Times New Roman" w:cs="Times New Roman"/>
          <w:sz w:val="28"/>
          <w:szCs w:val="28"/>
        </w:rPr>
        <w:t>报名网址http://classes.tju.edu.cn</w:t>
      </w:r>
      <w:r>
        <w:rPr>
          <w:rFonts w:hint="eastAsia"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sz w:val="28"/>
          <w:szCs w:val="28"/>
        </w:rPr>
        <w:t>“我的学籍-主修专业确认”模块），7月1</w:t>
      </w:r>
      <w:r>
        <w:rPr>
          <w:rFonts w:hint="eastAsia" w:ascii="Times New Roman" w:hAnsi="Times New Roman" w:cs="Times New Roman"/>
          <w:sz w:val="28"/>
          <w:szCs w:val="28"/>
          <w:lang w:val="en-US" w:eastAsia="zh-CN"/>
        </w:rPr>
        <w:t>8</w:t>
      </w:r>
      <w:r>
        <w:rPr>
          <w:rFonts w:hint="eastAsia" w:ascii="Times New Roman" w:hAnsi="Times New Roman" w:cs="Times New Roman"/>
          <w:sz w:val="28"/>
          <w:szCs w:val="28"/>
        </w:rPr>
        <w:t>日</w:t>
      </w:r>
      <w:r>
        <w:rPr>
          <w:rFonts w:ascii="Times New Roman" w:hAnsi="Times New Roman" w:cs="Times New Roman"/>
          <w:sz w:val="28"/>
          <w:szCs w:val="28"/>
        </w:rPr>
        <w:t>前，</w:t>
      </w:r>
      <w:r>
        <w:rPr>
          <w:rFonts w:hint="eastAsia" w:ascii="Times New Roman" w:hAnsi="Times New Roman" w:cs="Times New Roman"/>
          <w:sz w:val="28"/>
          <w:szCs w:val="28"/>
        </w:rPr>
        <w:t>学院对</w:t>
      </w:r>
      <w:r>
        <w:rPr>
          <w:rFonts w:ascii="Times New Roman" w:hAnsi="Times New Roman" w:cs="Times New Roman"/>
          <w:sz w:val="28"/>
          <w:szCs w:val="28"/>
        </w:rPr>
        <w:t>通过主修专业确认遴选的学生名单予以公示，</w:t>
      </w:r>
      <w:r>
        <w:rPr>
          <w:rFonts w:hint="eastAsia" w:ascii="Times New Roman" w:hAnsi="Times New Roman" w:cs="Times New Roman"/>
          <w:sz w:val="28"/>
          <w:szCs w:val="28"/>
        </w:rPr>
        <w:t>公示网址http://jyxy.tju.edu.cn/cn/。公示期后，学院将最终通过专业遴选的学生名单报送教务处，教务处报送学校批准并发文予以公布，后续在教务管理系统中做相应的学籍异动。</w:t>
      </w:r>
    </w:p>
    <w:p w14:paraId="6B3B586F">
      <w:pPr>
        <w:spacing w:line="360" w:lineRule="auto"/>
        <w:ind w:firstLine="560" w:firstLineChars="200"/>
        <w:rPr>
          <w:rFonts w:ascii="黑体" w:hAnsi="黑体" w:eastAsia="黑体" w:cstheme="minorEastAsia"/>
          <w:color w:val="000000" w:themeColor="text1"/>
          <w:sz w:val="28"/>
          <w:szCs w:val="28"/>
          <w14:textFill>
            <w14:solidFill>
              <w14:schemeClr w14:val="tx1"/>
            </w14:solidFill>
          </w14:textFill>
        </w:rPr>
      </w:pPr>
      <w:r>
        <w:rPr>
          <w:rFonts w:hint="eastAsia" w:ascii="黑体" w:hAnsi="黑体" w:eastAsia="黑体" w:cstheme="minorEastAsia"/>
          <w:color w:val="000000" w:themeColor="text1"/>
          <w:sz w:val="28"/>
          <w:szCs w:val="28"/>
          <w14:textFill>
            <w14:solidFill>
              <w14:schemeClr w14:val="tx1"/>
            </w14:solidFill>
          </w14:textFill>
        </w:rPr>
        <w:t>四</w:t>
      </w:r>
      <w:r>
        <w:rPr>
          <w:rFonts w:ascii="黑体" w:hAnsi="黑体" w:eastAsia="黑体" w:cstheme="minorEastAsia"/>
          <w:color w:val="000000" w:themeColor="text1"/>
          <w:sz w:val="28"/>
          <w:szCs w:val="28"/>
          <w14:textFill>
            <w14:solidFill>
              <w14:schemeClr w14:val="tx1"/>
            </w14:solidFill>
          </w14:textFill>
        </w:rPr>
        <w:t>、</w:t>
      </w:r>
      <w:r>
        <w:rPr>
          <w:rFonts w:hint="eastAsia" w:ascii="黑体" w:hAnsi="黑体" w:eastAsia="黑体" w:cstheme="minorEastAsia"/>
          <w:color w:val="000000" w:themeColor="text1"/>
          <w:sz w:val="28"/>
          <w:szCs w:val="28"/>
          <w14:textFill>
            <w14:solidFill>
              <w14:schemeClr w14:val="tx1"/>
            </w14:solidFill>
          </w14:textFill>
        </w:rPr>
        <w:t>相关原则要求</w:t>
      </w:r>
    </w:p>
    <w:p w14:paraId="457D61C6">
      <w:pPr>
        <w:pStyle w:val="17"/>
        <w:numPr>
          <w:ilvl w:val="0"/>
          <w:numId w:val="2"/>
        </w:numPr>
        <w:spacing w:line="360" w:lineRule="auto"/>
        <w:ind w:left="0" w:firstLine="560"/>
        <w:rPr>
          <w:rFonts w:ascii="宋体" w:hAnsi="宋体" w:eastAsia="宋体" w:cstheme="minorEastAsia"/>
          <w:color w:val="000000" w:themeColor="text1"/>
          <w:sz w:val="28"/>
          <w:szCs w:val="28"/>
          <w14:textFill>
            <w14:solidFill>
              <w14:schemeClr w14:val="tx1"/>
            </w14:solidFill>
          </w14:textFill>
        </w:rPr>
      </w:pPr>
      <w:r>
        <w:rPr>
          <w:rFonts w:hint="eastAsia" w:ascii="宋体" w:hAnsi="宋体" w:eastAsia="宋体" w:cstheme="minorEastAsia"/>
          <w:color w:val="000000" w:themeColor="text1"/>
          <w:sz w:val="28"/>
          <w:szCs w:val="28"/>
          <w14:textFill>
            <w14:solidFill>
              <w14:schemeClr w14:val="tx1"/>
            </w14:solidFill>
          </w14:textFill>
        </w:rPr>
        <w:t>学生在第一学年结束后确定各主修专业，其基本名额严格按照人数比例进行计算。</w:t>
      </w:r>
      <w:r>
        <w:rPr>
          <w:rFonts w:ascii="宋体" w:hAnsi="宋体" w:eastAsia="宋体" w:cstheme="minorEastAsia"/>
          <w:color w:val="000000" w:themeColor="text1"/>
          <w:sz w:val="28"/>
          <w:szCs w:val="28"/>
          <w14:textFill>
            <w14:solidFill>
              <w14:schemeClr w14:val="tx1"/>
            </w14:solidFill>
          </w14:textFill>
        </w:rPr>
        <w:t xml:space="preserve"> </w:t>
      </w:r>
    </w:p>
    <w:p w14:paraId="6EDAFDFB">
      <w:pPr>
        <w:pStyle w:val="17"/>
        <w:numPr>
          <w:ilvl w:val="0"/>
          <w:numId w:val="2"/>
        </w:numPr>
        <w:spacing w:line="360" w:lineRule="auto"/>
        <w:ind w:left="0" w:firstLine="560"/>
        <w:rPr>
          <w:rFonts w:ascii="宋体" w:hAnsi="宋体" w:eastAsia="宋体" w:cstheme="minorEastAsia"/>
          <w:color w:val="000000" w:themeColor="text1"/>
          <w:sz w:val="28"/>
          <w:szCs w:val="28"/>
          <w14:textFill>
            <w14:solidFill>
              <w14:schemeClr w14:val="tx1"/>
            </w14:solidFill>
          </w14:textFill>
        </w:rPr>
      </w:pPr>
      <w:r>
        <w:rPr>
          <w:rFonts w:hint="eastAsia" w:ascii="宋体" w:hAnsi="宋体" w:eastAsia="宋体" w:cstheme="minorEastAsia"/>
          <w:color w:val="000000" w:themeColor="text1"/>
          <w:sz w:val="28"/>
          <w:szCs w:val="28"/>
          <w14:textFill>
            <w14:solidFill>
              <w14:schemeClr w14:val="tx1"/>
            </w14:solidFill>
          </w14:textFill>
        </w:rPr>
        <w:t>学生需根据自身的特点并参考各专业基本名额，经过全面及慎重考虑后，按时在系统中（</w:t>
      </w:r>
      <w:r>
        <w:rPr>
          <w:rFonts w:hint="eastAsia" w:ascii="Times New Roman" w:hAnsi="Times New Roman" w:cs="Times New Roman"/>
          <w:sz w:val="28"/>
          <w:szCs w:val="28"/>
        </w:rPr>
        <w:t>http://classes.tju.edu.cn</w:t>
      </w:r>
      <w:r>
        <w:rPr>
          <w:rFonts w:hint="eastAsia" w:ascii="宋体" w:hAnsi="宋体" w:eastAsia="宋体" w:cstheme="minorEastAsia"/>
          <w:color w:val="000000" w:themeColor="text1"/>
          <w:sz w:val="28"/>
          <w:szCs w:val="28"/>
          <w14:textFill>
            <w14:solidFill>
              <w14:schemeClr w14:val="tx1"/>
            </w14:solidFill>
          </w14:textFill>
        </w:rPr>
        <w:t>）一次性提交对本大类内所有专业排序的志愿申请，志愿填报截止后不能变更。</w:t>
      </w:r>
    </w:p>
    <w:p w14:paraId="25395843">
      <w:pPr>
        <w:pStyle w:val="17"/>
        <w:numPr>
          <w:ilvl w:val="0"/>
          <w:numId w:val="2"/>
        </w:numPr>
        <w:spacing w:line="360" w:lineRule="auto"/>
        <w:ind w:left="0" w:firstLine="560"/>
        <w:rPr>
          <w:rFonts w:ascii="宋体" w:hAnsi="宋体" w:eastAsia="宋体" w:cstheme="minorEastAsia"/>
          <w:color w:val="000000" w:themeColor="text1"/>
          <w:sz w:val="28"/>
          <w:szCs w:val="28"/>
          <w14:textFill>
            <w14:solidFill>
              <w14:schemeClr w14:val="tx1"/>
            </w14:solidFill>
          </w14:textFill>
        </w:rPr>
      </w:pPr>
      <w:r>
        <w:rPr>
          <w:rFonts w:hint="eastAsia" w:ascii="宋体" w:hAnsi="宋体" w:eastAsia="宋体" w:cstheme="minorEastAsia"/>
          <w:color w:val="000000" w:themeColor="text1"/>
          <w:sz w:val="28"/>
          <w:szCs w:val="28"/>
          <w14:textFill>
            <w14:solidFill>
              <w14:schemeClr w14:val="tx1"/>
            </w14:solidFill>
          </w14:textFill>
        </w:rPr>
        <w:t>如学生未按时提交所有类内专业的志愿申请，学院将通过教务管理系统自动为该生分配所属大类中有余额的专业作为该生的主修专业。</w:t>
      </w:r>
    </w:p>
    <w:p w14:paraId="01ECB6FB">
      <w:pPr>
        <w:spacing w:line="360" w:lineRule="auto"/>
        <w:ind w:firstLine="560" w:firstLineChars="200"/>
        <w:rPr>
          <w:rFonts w:asciiTheme="minorEastAsia" w:hAnsiTheme="minorEastAsia" w:cstheme="minorEastAsia"/>
          <w:sz w:val="28"/>
          <w:szCs w:val="28"/>
        </w:rPr>
      </w:pPr>
    </w:p>
    <w:p w14:paraId="5744A26C">
      <w:pPr>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（本实施细则由精仪学院主修</w:t>
      </w:r>
      <w:r>
        <w:rPr>
          <w:rFonts w:asciiTheme="minorEastAsia" w:hAnsiTheme="minorEastAsia" w:cstheme="minorEastAsia"/>
          <w:sz w:val="28"/>
          <w:szCs w:val="28"/>
        </w:rPr>
        <w:t>专业确认工作</w:t>
      </w:r>
      <w:r>
        <w:rPr>
          <w:rFonts w:hint="eastAsia" w:asciiTheme="minorEastAsia" w:hAnsiTheme="minorEastAsia" w:cstheme="minorEastAsia"/>
          <w:sz w:val="28"/>
          <w:szCs w:val="28"/>
        </w:rPr>
        <w:t>委员会负责解释）</w:t>
      </w:r>
    </w:p>
    <w:p w14:paraId="696D61FE">
      <w:pPr>
        <w:spacing w:line="360" w:lineRule="auto"/>
        <w:ind w:firstLine="560" w:firstLineChars="200"/>
        <w:rPr>
          <w:rFonts w:asciiTheme="minorEastAsia" w:hAnsiTheme="minorEastAsia" w:cstheme="minorEastAsia"/>
          <w:sz w:val="28"/>
          <w:szCs w:val="28"/>
        </w:rPr>
      </w:pPr>
    </w:p>
    <w:p w14:paraId="02B80CEE">
      <w:pPr>
        <w:spacing w:line="360" w:lineRule="auto"/>
        <w:ind w:firstLine="560" w:firstLineChars="200"/>
        <w:jc w:val="right"/>
        <w:rPr>
          <w:rFonts w:asciiTheme="minorEastAsia" w:hAnsiTheme="minorEastAsia" w:cstheme="minorEastAsia"/>
          <w:sz w:val="28"/>
          <w:szCs w:val="28"/>
        </w:rPr>
      </w:pPr>
      <w:r>
        <w:rPr>
          <w:rFonts w:hint="eastAsia" w:asciiTheme="minorEastAsia" w:hAnsiTheme="minorEastAsia" w:cstheme="minorEastAsia"/>
          <w:sz w:val="28"/>
          <w:szCs w:val="28"/>
        </w:rPr>
        <w:t>精密仪器与光电子工程学院</w:t>
      </w:r>
    </w:p>
    <w:p w14:paraId="476F3B29">
      <w:pPr>
        <w:spacing w:line="360" w:lineRule="auto"/>
        <w:ind w:firstLine="560" w:firstLineChars="200"/>
        <w:jc w:val="right"/>
        <w:rPr>
          <w:rFonts w:asciiTheme="minorEastAsia" w:hAnsiTheme="minorEastAsia" w:cstheme="minorEastAsia"/>
          <w:sz w:val="28"/>
          <w:szCs w:val="28"/>
        </w:rPr>
      </w:pPr>
      <w:r>
        <w:rPr>
          <w:rFonts w:asciiTheme="minorEastAsia" w:hAnsiTheme="minorEastAsia" w:cstheme="minorEastAsia"/>
          <w:sz w:val="28"/>
          <w:szCs w:val="28"/>
        </w:rPr>
        <w:t>202</w:t>
      </w:r>
      <w:r>
        <w:rPr>
          <w:rFonts w:hint="eastAsia" w:asciiTheme="minorEastAsia" w:hAnsiTheme="minorEastAsia" w:cstheme="minorEastAsia"/>
          <w:sz w:val="28"/>
          <w:szCs w:val="28"/>
          <w:lang w:val="en-US" w:eastAsia="zh-CN"/>
        </w:rPr>
        <w:t>4</w:t>
      </w:r>
      <w:r>
        <w:rPr>
          <w:rFonts w:hint="eastAsia" w:asciiTheme="minorEastAsia" w:hAnsiTheme="minorEastAsia" w:cstheme="minorEastAsia"/>
          <w:sz w:val="28"/>
          <w:szCs w:val="28"/>
        </w:rPr>
        <w:t>年8月1</w:t>
      </w:r>
      <w:r>
        <w:rPr>
          <w:rFonts w:hint="eastAsia" w:asciiTheme="minorEastAsia" w:hAnsiTheme="minorEastAsia" w:cstheme="minorEastAsia"/>
          <w:sz w:val="28"/>
          <w:szCs w:val="28"/>
          <w:lang w:val="en-US" w:eastAsia="zh-CN"/>
        </w:rPr>
        <w:t>5</w:t>
      </w:r>
      <w:r>
        <w:rPr>
          <w:rFonts w:hint="eastAsia" w:asciiTheme="minorEastAsia" w:hAnsiTheme="minorEastAsia" w:cstheme="minorEastAsia"/>
          <w:sz w:val="28"/>
          <w:szCs w:val="28"/>
        </w:rPr>
        <w:t>日</w:t>
      </w:r>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KaiTi_GB2312">
    <w:altName w:val="楷体"/>
    <w:panose1 w:val="0201060906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C2441"/>
    <w:multiLevelType w:val="multilevel"/>
    <w:tmpl w:val="003C244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522102E"/>
    <w:multiLevelType w:val="multilevel"/>
    <w:tmpl w:val="6522102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5YmQ3ZGE2NzEzOWQ0MmNjN2M1N2U3NzQxMGEzYWUifQ=="/>
  </w:docVars>
  <w:rsids>
    <w:rsidRoot w:val="7FFE592B"/>
    <w:rsid w:val="00012308"/>
    <w:rsid w:val="0001325A"/>
    <w:rsid w:val="00013760"/>
    <w:rsid w:val="00013864"/>
    <w:rsid w:val="00013866"/>
    <w:rsid w:val="00013D13"/>
    <w:rsid w:val="000163AE"/>
    <w:rsid w:val="00016871"/>
    <w:rsid w:val="00016C74"/>
    <w:rsid w:val="00027A03"/>
    <w:rsid w:val="000579C7"/>
    <w:rsid w:val="000666B4"/>
    <w:rsid w:val="000710E8"/>
    <w:rsid w:val="000726FD"/>
    <w:rsid w:val="00075F78"/>
    <w:rsid w:val="000775CE"/>
    <w:rsid w:val="000A58E6"/>
    <w:rsid w:val="000B5D47"/>
    <w:rsid w:val="000B5E81"/>
    <w:rsid w:val="000C3F11"/>
    <w:rsid w:val="000C71DA"/>
    <w:rsid w:val="000D109C"/>
    <w:rsid w:val="000D4919"/>
    <w:rsid w:val="000D7DB7"/>
    <w:rsid w:val="000E26C3"/>
    <w:rsid w:val="000E7264"/>
    <w:rsid w:val="000F047B"/>
    <w:rsid w:val="000F21CE"/>
    <w:rsid w:val="000F68AB"/>
    <w:rsid w:val="001007A9"/>
    <w:rsid w:val="00102B5E"/>
    <w:rsid w:val="00112F68"/>
    <w:rsid w:val="00114A6E"/>
    <w:rsid w:val="001174CF"/>
    <w:rsid w:val="0014096C"/>
    <w:rsid w:val="001449FE"/>
    <w:rsid w:val="00146739"/>
    <w:rsid w:val="0014714B"/>
    <w:rsid w:val="001531E4"/>
    <w:rsid w:val="001576A0"/>
    <w:rsid w:val="001628C7"/>
    <w:rsid w:val="00167B8B"/>
    <w:rsid w:val="00173BD2"/>
    <w:rsid w:val="00192DE4"/>
    <w:rsid w:val="001974C0"/>
    <w:rsid w:val="001A155D"/>
    <w:rsid w:val="001A1AFF"/>
    <w:rsid w:val="001B1452"/>
    <w:rsid w:val="001B1677"/>
    <w:rsid w:val="001B5AA9"/>
    <w:rsid w:val="001B5E4B"/>
    <w:rsid w:val="001B7A60"/>
    <w:rsid w:val="001C003E"/>
    <w:rsid w:val="001C3A1E"/>
    <w:rsid w:val="001C58AF"/>
    <w:rsid w:val="001D3232"/>
    <w:rsid w:val="001E1B40"/>
    <w:rsid w:val="001E7CD9"/>
    <w:rsid w:val="001F2217"/>
    <w:rsid w:val="001F5866"/>
    <w:rsid w:val="002035F3"/>
    <w:rsid w:val="002277E8"/>
    <w:rsid w:val="00234A4B"/>
    <w:rsid w:val="00237BF0"/>
    <w:rsid w:val="00243A27"/>
    <w:rsid w:val="0025486E"/>
    <w:rsid w:val="00262102"/>
    <w:rsid w:val="00264A3E"/>
    <w:rsid w:val="00265BCF"/>
    <w:rsid w:val="00265CF6"/>
    <w:rsid w:val="002951C2"/>
    <w:rsid w:val="002B1C4F"/>
    <w:rsid w:val="002B1F10"/>
    <w:rsid w:val="002B39B4"/>
    <w:rsid w:val="002B3EAB"/>
    <w:rsid w:val="002C148F"/>
    <w:rsid w:val="002C1F60"/>
    <w:rsid w:val="002C2F0E"/>
    <w:rsid w:val="002C71E3"/>
    <w:rsid w:val="002D46A7"/>
    <w:rsid w:val="002D6B42"/>
    <w:rsid w:val="002F2FB9"/>
    <w:rsid w:val="002F5526"/>
    <w:rsid w:val="00300FF0"/>
    <w:rsid w:val="003024C1"/>
    <w:rsid w:val="00317E89"/>
    <w:rsid w:val="00331803"/>
    <w:rsid w:val="0033471F"/>
    <w:rsid w:val="00337C21"/>
    <w:rsid w:val="0034393A"/>
    <w:rsid w:val="0034633B"/>
    <w:rsid w:val="00347ACC"/>
    <w:rsid w:val="00351F5B"/>
    <w:rsid w:val="00352405"/>
    <w:rsid w:val="0035592B"/>
    <w:rsid w:val="00365435"/>
    <w:rsid w:val="00371CFC"/>
    <w:rsid w:val="0038486D"/>
    <w:rsid w:val="00384ABE"/>
    <w:rsid w:val="003A1917"/>
    <w:rsid w:val="003A1E0C"/>
    <w:rsid w:val="003A1EF3"/>
    <w:rsid w:val="003A5E7F"/>
    <w:rsid w:val="003B1B79"/>
    <w:rsid w:val="003D13CF"/>
    <w:rsid w:val="003E51EA"/>
    <w:rsid w:val="003F5C01"/>
    <w:rsid w:val="003F6CA7"/>
    <w:rsid w:val="00403C3A"/>
    <w:rsid w:val="00404460"/>
    <w:rsid w:val="00410E31"/>
    <w:rsid w:val="00415A3C"/>
    <w:rsid w:val="00426F47"/>
    <w:rsid w:val="00435E67"/>
    <w:rsid w:val="004360FF"/>
    <w:rsid w:val="00440EC8"/>
    <w:rsid w:val="00446545"/>
    <w:rsid w:val="00457B7A"/>
    <w:rsid w:val="00463FB0"/>
    <w:rsid w:val="00466170"/>
    <w:rsid w:val="00475727"/>
    <w:rsid w:val="00476030"/>
    <w:rsid w:val="00482B57"/>
    <w:rsid w:val="00483F22"/>
    <w:rsid w:val="004908FC"/>
    <w:rsid w:val="004B345B"/>
    <w:rsid w:val="004C00F3"/>
    <w:rsid w:val="004C1C43"/>
    <w:rsid w:val="004C3841"/>
    <w:rsid w:val="004C5883"/>
    <w:rsid w:val="004C6FD8"/>
    <w:rsid w:val="004C76A3"/>
    <w:rsid w:val="004D259D"/>
    <w:rsid w:val="004D76B1"/>
    <w:rsid w:val="004D7E05"/>
    <w:rsid w:val="004E2BEB"/>
    <w:rsid w:val="004E4E3A"/>
    <w:rsid w:val="004F42E6"/>
    <w:rsid w:val="004F5FC5"/>
    <w:rsid w:val="004F7308"/>
    <w:rsid w:val="00501924"/>
    <w:rsid w:val="005019EA"/>
    <w:rsid w:val="00506C8D"/>
    <w:rsid w:val="00514579"/>
    <w:rsid w:val="00523928"/>
    <w:rsid w:val="00530FF4"/>
    <w:rsid w:val="00537634"/>
    <w:rsid w:val="00537B1D"/>
    <w:rsid w:val="00544A21"/>
    <w:rsid w:val="0055058D"/>
    <w:rsid w:val="005608D8"/>
    <w:rsid w:val="00561A66"/>
    <w:rsid w:val="00574118"/>
    <w:rsid w:val="00575A7C"/>
    <w:rsid w:val="005839D4"/>
    <w:rsid w:val="00585A06"/>
    <w:rsid w:val="00591619"/>
    <w:rsid w:val="00596209"/>
    <w:rsid w:val="005976BB"/>
    <w:rsid w:val="005A06C0"/>
    <w:rsid w:val="005A3A5C"/>
    <w:rsid w:val="005A40FC"/>
    <w:rsid w:val="005B209A"/>
    <w:rsid w:val="005B4061"/>
    <w:rsid w:val="005B5A7B"/>
    <w:rsid w:val="005B7558"/>
    <w:rsid w:val="005C4274"/>
    <w:rsid w:val="005C54B5"/>
    <w:rsid w:val="005C60F6"/>
    <w:rsid w:val="005D4B2C"/>
    <w:rsid w:val="005F7965"/>
    <w:rsid w:val="006201E4"/>
    <w:rsid w:val="006332CD"/>
    <w:rsid w:val="00644AD9"/>
    <w:rsid w:val="0065449B"/>
    <w:rsid w:val="006553E7"/>
    <w:rsid w:val="00657560"/>
    <w:rsid w:val="00661432"/>
    <w:rsid w:val="0066652E"/>
    <w:rsid w:val="00695B5D"/>
    <w:rsid w:val="006A60F0"/>
    <w:rsid w:val="006B20E9"/>
    <w:rsid w:val="006B6605"/>
    <w:rsid w:val="006C5027"/>
    <w:rsid w:val="00701F98"/>
    <w:rsid w:val="0070436F"/>
    <w:rsid w:val="00705608"/>
    <w:rsid w:val="0070643B"/>
    <w:rsid w:val="007121D5"/>
    <w:rsid w:val="00715709"/>
    <w:rsid w:val="0071758D"/>
    <w:rsid w:val="00717FF7"/>
    <w:rsid w:val="0072581E"/>
    <w:rsid w:val="007342E5"/>
    <w:rsid w:val="00736857"/>
    <w:rsid w:val="0077205E"/>
    <w:rsid w:val="007828FE"/>
    <w:rsid w:val="00792A45"/>
    <w:rsid w:val="007931B6"/>
    <w:rsid w:val="0079321E"/>
    <w:rsid w:val="007A0020"/>
    <w:rsid w:val="007A0165"/>
    <w:rsid w:val="007A1C6C"/>
    <w:rsid w:val="007A6055"/>
    <w:rsid w:val="007A7190"/>
    <w:rsid w:val="007B2DAB"/>
    <w:rsid w:val="007D1710"/>
    <w:rsid w:val="007D1806"/>
    <w:rsid w:val="007D5506"/>
    <w:rsid w:val="007D7D94"/>
    <w:rsid w:val="007E3109"/>
    <w:rsid w:val="007F68FE"/>
    <w:rsid w:val="008075BD"/>
    <w:rsid w:val="00833DA5"/>
    <w:rsid w:val="00835364"/>
    <w:rsid w:val="00841726"/>
    <w:rsid w:val="00845F8A"/>
    <w:rsid w:val="00847B2C"/>
    <w:rsid w:val="0085058F"/>
    <w:rsid w:val="0085166E"/>
    <w:rsid w:val="0085184E"/>
    <w:rsid w:val="00854BAB"/>
    <w:rsid w:val="00865267"/>
    <w:rsid w:val="00866D41"/>
    <w:rsid w:val="00875B0D"/>
    <w:rsid w:val="00880211"/>
    <w:rsid w:val="008857B3"/>
    <w:rsid w:val="0089190C"/>
    <w:rsid w:val="0089466F"/>
    <w:rsid w:val="008976F8"/>
    <w:rsid w:val="00897AC7"/>
    <w:rsid w:val="008A6CC1"/>
    <w:rsid w:val="008A745F"/>
    <w:rsid w:val="008B2E35"/>
    <w:rsid w:val="008B769B"/>
    <w:rsid w:val="008C2626"/>
    <w:rsid w:val="008C4569"/>
    <w:rsid w:val="008C60FE"/>
    <w:rsid w:val="008C7032"/>
    <w:rsid w:val="008C73D3"/>
    <w:rsid w:val="008C7D68"/>
    <w:rsid w:val="008D066B"/>
    <w:rsid w:val="008D6BB7"/>
    <w:rsid w:val="008E2EB3"/>
    <w:rsid w:val="00901708"/>
    <w:rsid w:val="00916377"/>
    <w:rsid w:val="00925054"/>
    <w:rsid w:val="0093010B"/>
    <w:rsid w:val="00933439"/>
    <w:rsid w:val="00933DCE"/>
    <w:rsid w:val="0093452B"/>
    <w:rsid w:val="00934CE5"/>
    <w:rsid w:val="009359E3"/>
    <w:rsid w:val="00942E15"/>
    <w:rsid w:val="00945AB3"/>
    <w:rsid w:val="00945ABE"/>
    <w:rsid w:val="009538BC"/>
    <w:rsid w:val="00960A85"/>
    <w:rsid w:val="00960D43"/>
    <w:rsid w:val="009632D4"/>
    <w:rsid w:val="00965CE5"/>
    <w:rsid w:val="00971A8B"/>
    <w:rsid w:val="00977374"/>
    <w:rsid w:val="00986458"/>
    <w:rsid w:val="00987DA8"/>
    <w:rsid w:val="00990EE9"/>
    <w:rsid w:val="0099229D"/>
    <w:rsid w:val="00993D83"/>
    <w:rsid w:val="009962A2"/>
    <w:rsid w:val="009A0475"/>
    <w:rsid w:val="009A0634"/>
    <w:rsid w:val="009A1E89"/>
    <w:rsid w:val="009B43D1"/>
    <w:rsid w:val="009B488C"/>
    <w:rsid w:val="009C5EA5"/>
    <w:rsid w:val="009D27C2"/>
    <w:rsid w:val="009D2EC8"/>
    <w:rsid w:val="009D5639"/>
    <w:rsid w:val="009D590E"/>
    <w:rsid w:val="009E0D49"/>
    <w:rsid w:val="009E0FE7"/>
    <w:rsid w:val="009E3231"/>
    <w:rsid w:val="009F3B83"/>
    <w:rsid w:val="009F5156"/>
    <w:rsid w:val="009F79D8"/>
    <w:rsid w:val="00A00EA1"/>
    <w:rsid w:val="00A05D03"/>
    <w:rsid w:val="00A202C4"/>
    <w:rsid w:val="00A330FA"/>
    <w:rsid w:val="00A342D2"/>
    <w:rsid w:val="00A41149"/>
    <w:rsid w:val="00A5160F"/>
    <w:rsid w:val="00A56F55"/>
    <w:rsid w:val="00A665CA"/>
    <w:rsid w:val="00A676ED"/>
    <w:rsid w:val="00A8124D"/>
    <w:rsid w:val="00AA491C"/>
    <w:rsid w:val="00AB0031"/>
    <w:rsid w:val="00AB7707"/>
    <w:rsid w:val="00AC0DB9"/>
    <w:rsid w:val="00AC147C"/>
    <w:rsid w:val="00AC649D"/>
    <w:rsid w:val="00AD59CE"/>
    <w:rsid w:val="00AE2E19"/>
    <w:rsid w:val="00AE3E67"/>
    <w:rsid w:val="00B1147E"/>
    <w:rsid w:val="00B15EDF"/>
    <w:rsid w:val="00B1667A"/>
    <w:rsid w:val="00B22F67"/>
    <w:rsid w:val="00B25241"/>
    <w:rsid w:val="00B26553"/>
    <w:rsid w:val="00B27FC0"/>
    <w:rsid w:val="00B30363"/>
    <w:rsid w:val="00B3144B"/>
    <w:rsid w:val="00B37D88"/>
    <w:rsid w:val="00B41790"/>
    <w:rsid w:val="00B50E7B"/>
    <w:rsid w:val="00B515AB"/>
    <w:rsid w:val="00B53428"/>
    <w:rsid w:val="00B54896"/>
    <w:rsid w:val="00B65DF1"/>
    <w:rsid w:val="00B6683A"/>
    <w:rsid w:val="00B71F97"/>
    <w:rsid w:val="00BA71FC"/>
    <w:rsid w:val="00BC1324"/>
    <w:rsid w:val="00BC351B"/>
    <w:rsid w:val="00BD0DF4"/>
    <w:rsid w:val="00BD6E66"/>
    <w:rsid w:val="00BE25C0"/>
    <w:rsid w:val="00BF0105"/>
    <w:rsid w:val="00BF0D76"/>
    <w:rsid w:val="00BF26A5"/>
    <w:rsid w:val="00BF77C1"/>
    <w:rsid w:val="00C06FDD"/>
    <w:rsid w:val="00C16790"/>
    <w:rsid w:val="00C1757B"/>
    <w:rsid w:val="00C175BF"/>
    <w:rsid w:val="00C3503A"/>
    <w:rsid w:val="00C42640"/>
    <w:rsid w:val="00C43AC4"/>
    <w:rsid w:val="00C44E60"/>
    <w:rsid w:val="00C50A12"/>
    <w:rsid w:val="00C623CB"/>
    <w:rsid w:val="00C66E1C"/>
    <w:rsid w:val="00C76AE0"/>
    <w:rsid w:val="00C84756"/>
    <w:rsid w:val="00C86FCA"/>
    <w:rsid w:val="00C951C9"/>
    <w:rsid w:val="00CB4F26"/>
    <w:rsid w:val="00CD51E2"/>
    <w:rsid w:val="00CF158A"/>
    <w:rsid w:val="00D0259A"/>
    <w:rsid w:val="00D14FD7"/>
    <w:rsid w:val="00D16E37"/>
    <w:rsid w:val="00D21EDE"/>
    <w:rsid w:val="00D23EA2"/>
    <w:rsid w:val="00D24607"/>
    <w:rsid w:val="00D24AD5"/>
    <w:rsid w:val="00D32397"/>
    <w:rsid w:val="00D32D0C"/>
    <w:rsid w:val="00D33725"/>
    <w:rsid w:val="00D521D9"/>
    <w:rsid w:val="00D54A64"/>
    <w:rsid w:val="00D557F2"/>
    <w:rsid w:val="00D6639C"/>
    <w:rsid w:val="00D7083D"/>
    <w:rsid w:val="00D83403"/>
    <w:rsid w:val="00D85AC4"/>
    <w:rsid w:val="00D93344"/>
    <w:rsid w:val="00D956D8"/>
    <w:rsid w:val="00D97772"/>
    <w:rsid w:val="00DB2C3C"/>
    <w:rsid w:val="00DB3CDE"/>
    <w:rsid w:val="00DB420B"/>
    <w:rsid w:val="00DB7D39"/>
    <w:rsid w:val="00DC054E"/>
    <w:rsid w:val="00DD3D63"/>
    <w:rsid w:val="00DD3E4F"/>
    <w:rsid w:val="00DD4859"/>
    <w:rsid w:val="00DD5B4C"/>
    <w:rsid w:val="00DE1C3F"/>
    <w:rsid w:val="00DF379D"/>
    <w:rsid w:val="00E01F43"/>
    <w:rsid w:val="00E11827"/>
    <w:rsid w:val="00E20064"/>
    <w:rsid w:val="00E26584"/>
    <w:rsid w:val="00E344F1"/>
    <w:rsid w:val="00E43F0C"/>
    <w:rsid w:val="00E529CD"/>
    <w:rsid w:val="00E657C6"/>
    <w:rsid w:val="00E65C0E"/>
    <w:rsid w:val="00E77342"/>
    <w:rsid w:val="00E836CE"/>
    <w:rsid w:val="00E954A9"/>
    <w:rsid w:val="00E95F16"/>
    <w:rsid w:val="00E9645B"/>
    <w:rsid w:val="00EA2709"/>
    <w:rsid w:val="00EA3A3A"/>
    <w:rsid w:val="00EB1E86"/>
    <w:rsid w:val="00EC0036"/>
    <w:rsid w:val="00EC3829"/>
    <w:rsid w:val="00ED30BE"/>
    <w:rsid w:val="00EE12F2"/>
    <w:rsid w:val="00EF5ECF"/>
    <w:rsid w:val="00F02484"/>
    <w:rsid w:val="00F02884"/>
    <w:rsid w:val="00F05174"/>
    <w:rsid w:val="00F26330"/>
    <w:rsid w:val="00F535D6"/>
    <w:rsid w:val="00F619E8"/>
    <w:rsid w:val="00F73E34"/>
    <w:rsid w:val="00F82F87"/>
    <w:rsid w:val="00F951C3"/>
    <w:rsid w:val="00FB0987"/>
    <w:rsid w:val="00FB4D38"/>
    <w:rsid w:val="00FB6C26"/>
    <w:rsid w:val="00FC3D49"/>
    <w:rsid w:val="00FD04EA"/>
    <w:rsid w:val="00FD3F59"/>
    <w:rsid w:val="00FD6966"/>
    <w:rsid w:val="00FE1AD3"/>
    <w:rsid w:val="00FE56ED"/>
    <w:rsid w:val="00FE7AF9"/>
    <w:rsid w:val="00FF40EB"/>
    <w:rsid w:val="00FF47FC"/>
    <w:rsid w:val="02D24261"/>
    <w:rsid w:val="04C35FBE"/>
    <w:rsid w:val="0A8650C7"/>
    <w:rsid w:val="0A8B5AC6"/>
    <w:rsid w:val="0C8F23E0"/>
    <w:rsid w:val="0D9F0B93"/>
    <w:rsid w:val="16DC5CCF"/>
    <w:rsid w:val="17E11427"/>
    <w:rsid w:val="2501471A"/>
    <w:rsid w:val="2A363864"/>
    <w:rsid w:val="38EF71DF"/>
    <w:rsid w:val="3A615F10"/>
    <w:rsid w:val="3BBF3C80"/>
    <w:rsid w:val="3D7B521A"/>
    <w:rsid w:val="47116E8A"/>
    <w:rsid w:val="4B0173DF"/>
    <w:rsid w:val="4E7F10D9"/>
    <w:rsid w:val="4FCA48C7"/>
    <w:rsid w:val="4FDC61D7"/>
    <w:rsid w:val="52C06513"/>
    <w:rsid w:val="5C182F41"/>
    <w:rsid w:val="65942F3A"/>
    <w:rsid w:val="689D3DD1"/>
    <w:rsid w:val="6BFD48F4"/>
    <w:rsid w:val="724021C3"/>
    <w:rsid w:val="72CA7962"/>
    <w:rsid w:val="72FA1D6C"/>
    <w:rsid w:val="77B87094"/>
    <w:rsid w:val="7BFC64E0"/>
    <w:rsid w:val="7FFE5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0"/>
    <w:pPr>
      <w:jc w:val="left"/>
    </w:pPr>
  </w:style>
  <w:style w:type="paragraph" w:styleId="3">
    <w:name w:val="Body Text"/>
    <w:basedOn w:val="1"/>
    <w:link w:val="14"/>
    <w:qFormat/>
    <w:uiPriority w:val="0"/>
    <w:rPr>
      <w:rFonts w:ascii="KaiTi_GB2312" w:eastAsia="KaiTi_GB2312"/>
      <w:sz w:val="30"/>
      <w:szCs w:val="20"/>
    </w:rPr>
  </w:style>
  <w:style w:type="paragraph" w:styleId="4">
    <w:name w:val="Balloon Text"/>
    <w:basedOn w:val="1"/>
    <w:link w:val="13"/>
    <w:qFormat/>
    <w:uiPriority w:val="0"/>
    <w:rPr>
      <w:sz w:val="18"/>
      <w:szCs w:val="18"/>
    </w:rPr>
  </w:style>
  <w:style w:type="paragraph" w:styleId="5">
    <w:name w:val="footer"/>
    <w:basedOn w:val="1"/>
    <w:link w:val="21"/>
    <w:unhideWhenUsed/>
    <w:qFormat/>
    <w:uiPriority w:val="0"/>
    <w:pPr>
      <w:tabs>
        <w:tab w:val="center" w:pos="4153"/>
        <w:tab w:val="right" w:pos="8306"/>
      </w:tabs>
      <w:snapToGrid w:val="0"/>
      <w:jc w:val="left"/>
    </w:pPr>
    <w:rPr>
      <w:sz w:val="18"/>
      <w:szCs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9"/>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0"/>
    <w:rPr>
      <w:color w:val="0000FF"/>
      <w:u w:val="single"/>
    </w:rPr>
  </w:style>
  <w:style w:type="character" w:styleId="12">
    <w:name w:val="annotation reference"/>
    <w:basedOn w:val="10"/>
    <w:semiHidden/>
    <w:unhideWhenUsed/>
    <w:qFormat/>
    <w:uiPriority w:val="0"/>
    <w:rPr>
      <w:sz w:val="21"/>
      <w:szCs w:val="21"/>
    </w:rPr>
  </w:style>
  <w:style w:type="character" w:customStyle="1" w:styleId="13">
    <w:name w:val="Balloon Text Char"/>
    <w:basedOn w:val="10"/>
    <w:link w:val="4"/>
    <w:qFormat/>
    <w:uiPriority w:val="0"/>
    <w:rPr>
      <w:kern w:val="2"/>
      <w:sz w:val="18"/>
      <w:szCs w:val="18"/>
    </w:rPr>
  </w:style>
  <w:style w:type="character" w:customStyle="1" w:styleId="14">
    <w:name w:val="Body Text Char"/>
    <w:link w:val="3"/>
    <w:qFormat/>
    <w:uiPriority w:val="0"/>
    <w:rPr>
      <w:rFonts w:ascii="KaiTi_GB2312" w:eastAsia="KaiTi_GB2312"/>
      <w:kern w:val="2"/>
      <w:sz w:val="30"/>
    </w:rPr>
  </w:style>
  <w:style w:type="character" w:customStyle="1" w:styleId="15">
    <w:name w:val="正文文本 Char1"/>
    <w:basedOn w:val="10"/>
    <w:qFormat/>
    <w:uiPriority w:val="0"/>
    <w:rPr>
      <w:kern w:val="2"/>
      <w:sz w:val="21"/>
      <w:szCs w:val="24"/>
    </w:rPr>
  </w:style>
  <w:style w:type="paragraph" w:customStyle="1" w:styleId="16">
    <w:name w:val="msolistparagraph"/>
    <w:basedOn w:val="1"/>
    <w:qFormat/>
    <w:uiPriority w:val="0"/>
    <w:pPr>
      <w:ind w:firstLine="420" w:firstLineChars="200"/>
    </w:pPr>
    <w:rPr>
      <w:rFonts w:ascii="Times New Roman" w:hAnsi="Times New Roman" w:eastAsia="宋体" w:cs="Times New Roman"/>
      <w:szCs w:val="20"/>
    </w:rPr>
  </w:style>
  <w:style w:type="paragraph" w:styleId="17">
    <w:name w:val="List Paragraph"/>
    <w:basedOn w:val="1"/>
    <w:unhideWhenUsed/>
    <w:qFormat/>
    <w:uiPriority w:val="99"/>
    <w:pPr>
      <w:ind w:firstLine="420" w:firstLineChars="200"/>
    </w:pPr>
  </w:style>
  <w:style w:type="character" w:customStyle="1" w:styleId="18">
    <w:name w:val="Comment Text Char"/>
    <w:basedOn w:val="10"/>
    <w:link w:val="2"/>
    <w:semiHidden/>
    <w:qFormat/>
    <w:uiPriority w:val="0"/>
    <w:rPr>
      <w:kern w:val="2"/>
      <w:sz w:val="21"/>
      <w:szCs w:val="24"/>
    </w:rPr>
  </w:style>
  <w:style w:type="character" w:customStyle="1" w:styleId="19">
    <w:name w:val="Comment Subject Char"/>
    <w:basedOn w:val="18"/>
    <w:link w:val="7"/>
    <w:semiHidden/>
    <w:qFormat/>
    <w:uiPriority w:val="0"/>
    <w:rPr>
      <w:b/>
      <w:bCs/>
      <w:kern w:val="2"/>
      <w:sz w:val="21"/>
      <w:szCs w:val="24"/>
    </w:rPr>
  </w:style>
  <w:style w:type="character" w:customStyle="1" w:styleId="20">
    <w:name w:val="Header Char"/>
    <w:basedOn w:val="10"/>
    <w:link w:val="6"/>
    <w:qFormat/>
    <w:uiPriority w:val="0"/>
    <w:rPr>
      <w:kern w:val="2"/>
      <w:sz w:val="18"/>
      <w:szCs w:val="18"/>
    </w:rPr>
  </w:style>
  <w:style w:type="character" w:customStyle="1" w:styleId="21">
    <w:name w:val="Footer Char"/>
    <w:basedOn w:val="10"/>
    <w:link w:val="5"/>
    <w:qFormat/>
    <w:uiPriority w:val="0"/>
    <w:rPr>
      <w:kern w:val="2"/>
      <w:sz w:val="18"/>
      <w:szCs w:val="18"/>
    </w:rPr>
  </w:style>
  <w:style w:type="character" w:customStyle="1" w:styleId="22">
    <w:name w:val="未处理的提及1"/>
    <w:basedOn w:val="10"/>
    <w:semiHidden/>
    <w:unhideWhenUsed/>
    <w:qFormat/>
    <w:uiPriority w:val="99"/>
    <w:rPr>
      <w:color w:val="605E5C"/>
      <w:shd w:val="clear" w:color="auto" w:fill="E1DFDD"/>
    </w:rPr>
  </w:style>
  <w:style w:type="paragraph" w:customStyle="1" w:styleId="23">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00FE55-FADB-40F4-94EF-B0A293D4E104}">
  <ds:schemaRefs/>
</ds:datastoreItem>
</file>

<file path=docProps/app.xml><?xml version="1.0" encoding="utf-8"?>
<Properties xmlns="http://schemas.openxmlformats.org/officeDocument/2006/extended-properties" xmlns:vt="http://schemas.openxmlformats.org/officeDocument/2006/docPropsVTypes">
  <Template>Normal</Template>
  <Company>天津大学</Company>
  <Pages>4</Pages>
  <Words>1555</Words>
  <Characters>1703</Characters>
  <Lines>12</Lines>
  <Paragraphs>3</Paragraphs>
  <TotalTime>11</TotalTime>
  <ScaleCrop>false</ScaleCrop>
  <LinksUpToDate>false</LinksUpToDate>
  <CharactersWithSpaces>1714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2018-07-04T09:05:00Z</dcterms:created>
  <dc:creator>竹子</dc:creator>
  <cp:lastModifiedBy>dell</cp:lastModifiedBy>
  <cp:lastPrinted>2020-05-29T06:20:00Z</cp:lastPrinted>
  <dcterms:modified xsi:type="dcterms:W3CDTF">2024-08-15T03:01:38Z</dcterms:modified>
  <cp:revision>468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FB7CAFDAC2A34AE4BE04D9168C5AE128</vt:lpwstr>
  </property>
</Properties>
</file>