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napToGrid w:val="false"/>
        <w:spacing w:lineRule="auto" w:line="300"/>
        <w:jc w:val="center"/>
        <w:rPr>
          <w:rFonts w:ascii="仿宋" w:cs="黑体" w:eastAsia="仿宋" w:hAnsi="仿宋"/>
          <w:b/>
          <w:sz w:val="40"/>
          <w:szCs w:val="40"/>
          <w:highlight w:val="none"/>
        </w:rPr>
      </w:pPr>
      <w:r>
        <w:rPr>
          <w:rFonts w:ascii="仿宋" w:cs="黑体" w:eastAsia="仿宋" w:hAnsi="仿宋" w:hint="eastAsia"/>
          <w:b/>
          <w:sz w:val="40"/>
          <w:szCs w:val="40"/>
          <w:highlight w:val="none"/>
        </w:rPr>
        <w:t>理学院</w:t>
      </w:r>
      <w:r>
        <w:rPr>
          <w:rFonts w:ascii="仿宋" w:cs="黑体" w:eastAsia="仿宋" w:hAnsi="仿宋" w:hint="eastAsia"/>
          <w:b/>
          <w:sz w:val="40"/>
          <w:szCs w:val="40"/>
          <w:highlight w:val="none"/>
          <w:lang w:eastAsia="zh-CN"/>
        </w:rPr>
        <w:t>2024</w:t>
      </w:r>
      <w:r>
        <w:rPr>
          <w:rFonts w:ascii="仿宋" w:cs="黑体" w:eastAsia="仿宋" w:hAnsi="仿宋" w:hint="eastAsia"/>
          <w:b/>
          <w:sz w:val="40"/>
          <w:szCs w:val="40"/>
          <w:highlight w:val="none"/>
        </w:rPr>
        <w:t>级本科生主修专业</w:t>
      </w:r>
      <w:r>
        <w:rPr>
          <w:rFonts w:ascii="仿宋" w:cs="黑体" w:eastAsia="仿宋" w:hAnsi="仿宋"/>
          <w:b/>
          <w:sz w:val="40"/>
          <w:szCs w:val="40"/>
          <w:highlight w:val="none"/>
        </w:rPr>
        <w:t>确认</w:t>
      </w:r>
      <w:r>
        <w:rPr>
          <w:rFonts w:ascii="仿宋" w:cs="黑体" w:eastAsia="仿宋" w:hAnsi="仿宋" w:hint="eastAsia"/>
          <w:b/>
          <w:sz w:val="40"/>
          <w:szCs w:val="40"/>
          <w:highlight w:val="none"/>
        </w:rPr>
        <w:t>实施细则</w:t>
      </w:r>
    </w:p>
    <w:p>
      <w:pPr>
        <w:pStyle w:val="style0"/>
        <w:snapToGrid w:val="false"/>
        <w:spacing w:lineRule="auto" w:line="300"/>
        <w:jc w:val="center"/>
        <w:rPr>
          <w:rFonts w:ascii="仿宋" w:cs="黑体" w:eastAsia="仿宋" w:hAnsi="仿宋"/>
          <w:sz w:val="40"/>
          <w:szCs w:val="40"/>
          <w:highlight w:val="none"/>
        </w:rPr>
      </w:pPr>
    </w:p>
    <w:p>
      <w:pPr>
        <w:pStyle w:val="style0"/>
        <w:numPr>
          <w:ilvl w:val="0"/>
          <w:numId w:val="1"/>
        </w:numPr>
        <w:snapToGrid w:val="false"/>
        <w:spacing w:lineRule="auto" w:line="300"/>
        <w:ind w:firstLine="684"/>
        <w:jc w:val="left"/>
        <w:rPr>
          <w:rFonts w:ascii="仿宋" w:eastAsia="仿宋" w:hAnsi="仿宋"/>
          <w:b/>
          <w:sz w:val="32"/>
          <w:szCs w:val="32"/>
          <w:highlight w:val="none"/>
        </w:rPr>
      </w:pPr>
      <w:r>
        <w:rPr>
          <w:rFonts w:ascii="仿宋" w:eastAsia="仿宋" w:hAnsi="仿宋" w:hint="eastAsia"/>
          <w:b/>
          <w:sz w:val="32"/>
          <w:szCs w:val="32"/>
          <w:highlight w:val="none"/>
        </w:rPr>
        <w:t>基本原则</w:t>
      </w:r>
    </w:p>
    <w:p>
      <w:pPr>
        <w:pStyle w:val="style4102"/>
        <w:widowControl/>
        <w:numPr>
          <w:ilvl w:val="0"/>
          <w:numId w:val="2"/>
        </w:numPr>
        <w:snapToGrid w:val="false"/>
        <w:spacing w:lineRule="auto" w:line="300"/>
        <w:ind w:firstLine="640"/>
        <w:rPr>
          <w:rFonts w:ascii="仿宋" w:eastAsia="仿宋" w:hAnsi="仿宋"/>
          <w:kern w:val="0"/>
          <w:sz w:val="32"/>
          <w:szCs w:val="32"/>
          <w:highlight w:val="none"/>
        </w:rPr>
      </w:pPr>
      <w:r>
        <w:rPr>
          <w:rFonts w:ascii="仿宋" w:eastAsia="仿宋" w:hAnsi="仿宋" w:hint="eastAsia"/>
          <w:sz w:val="32"/>
          <w:szCs w:val="32"/>
          <w:highlight w:val="none"/>
        </w:rPr>
        <w:t>以学生发展为中心，坚持公开、公平、公正的原则</w:t>
      </w:r>
      <w:r>
        <w:rPr>
          <w:rFonts w:ascii="仿宋" w:eastAsia="仿宋" w:hAnsi="仿宋" w:hint="eastAsia"/>
          <w:kern w:val="0"/>
          <w:sz w:val="32"/>
          <w:szCs w:val="32"/>
          <w:highlight w:val="none"/>
        </w:rPr>
        <w:t>。</w:t>
      </w:r>
    </w:p>
    <w:p>
      <w:pPr>
        <w:pStyle w:val="style66"/>
        <w:numPr>
          <w:ilvl w:val="0"/>
          <w:numId w:val="2"/>
        </w:numPr>
        <w:snapToGrid w:val="false"/>
        <w:spacing w:lineRule="auto" w:line="300"/>
        <w:ind w:firstLine="640" w:firstLineChars="200"/>
        <w:jc w:val="left"/>
        <w:rPr>
          <w:rFonts w:ascii="仿宋" w:eastAsia="仿宋" w:hAnsi="仿宋"/>
          <w:sz w:val="32"/>
          <w:szCs w:val="32"/>
          <w:highlight w:val="none"/>
        </w:rPr>
      </w:pPr>
      <w:r>
        <w:rPr>
          <w:rFonts w:ascii="仿宋" w:eastAsia="仿宋" w:hAnsi="仿宋" w:hint="eastAsia"/>
          <w:sz w:val="32"/>
          <w:szCs w:val="32"/>
          <w:highlight w:val="none"/>
        </w:rPr>
        <w:t>主修专业确认是指按大类招生的学生入学后须选择应用物理学或应用化学作为自己的主修专业。</w:t>
      </w:r>
    </w:p>
    <w:p>
      <w:pPr>
        <w:pStyle w:val="style66"/>
        <w:numPr>
          <w:ilvl w:val="0"/>
          <w:numId w:val="2"/>
        </w:numPr>
        <w:snapToGrid w:val="false"/>
        <w:spacing w:lineRule="auto" w:line="300"/>
        <w:ind w:firstLine="640" w:firstLineChars="200"/>
        <w:jc w:val="left"/>
        <w:rPr>
          <w:rFonts w:ascii="仿宋" w:eastAsia="仿宋" w:hAnsi="仿宋"/>
          <w:sz w:val="32"/>
          <w:szCs w:val="32"/>
          <w:highlight w:val="none"/>
        </w:rPr>
      </w:pPr>
      <w:r>
        <w:rPr>
          <w:rFonts w:ascii="仿宋" w:eastAsia="仿宋" w:hAnsi="仿宋" w:hint="eastAsia"/>
          <w:sz w:val="32"/>
          <w:szCs w:val="32"/>
          <w:highlight w:val="none"/>
        </w:rPr>
        <w:t>入学时按专业招生的学生不在主修专业确认的范围。</w:t>
      </w:r>
    </w:p>
    <w:p>
      <w:pPr>
        <w:pStyle w:val="style66"/>
        <w:snapToGrid w:val="false"/>
        <w:spacing w:lineRule="auto" w:line="300"/>
        <w:ind w:left="640"/>
        <w:jc w:val="left"/>
        <w:rPr>
          <w:rFonts w:ascii="仿宋" w:eastAsia="仿宋" w:hAnsi="仿宋"/>
          <w:sz w:val="32"/>
          <w:szCs w:val="32"/>
          <w:highlight w:val="none"/>
        </w:rPr>
      </w:pPr>
    </w:p>
    <w:p>
      <w:pPr>
        <w:pStyle w:val="style0"/>
        <w:numPr>
          <w:ilvl w:val="0"/>
          <w:numId w:val="1"/>
        </w:numPr>
        <w:snapToGrid w:val="false"/>
        <w:spacing w:lineRule="auto" w:line="300"/>
        <w:ind w:firstLine="684"/>
        <w:jc w:val="left"/>
        <w:rPr>
          <w:rFonts w:ascii="仿宋" w:eastAsia="仿宋" w:hAnsi="仿宋"/>
          <w:b/>
          <w:sz w:val="32"/>
          <w:szCs w:val="32"/>
          <w:highlight w:val="none"/>
        </w:rPr>
      </w:pPr>
      <w:r>
        <w:rPr>
          <w:rFonts w:ascii="仿宋" w:eastAsia="仿宋" w:hAnsi="仿宋" w:hint="eastAsia"/>
          <w:b/>
          <w:sz w:val="32"/>
          <w:szCs w:val="32"/>
          <w:highlight w:val="none"/>
        </w:rPr>
        <w:t>组织与领导</w:t>
      </w:r>
    </w:p>
    <w:p>
      <w:pPr>
        <w:pStyle w:val="style0"/>
        <w:snapToGrid w:val="false"/>
        <w:spacing w:lineRule="auto" w:line="300"/>
        <w:ind w:firstLine="640" w:firstLineChars="200"/>
        <w:jc w:val="left"/>
        <w:rPr>
          <w:rFonts w:ascii="仿宋" w:eastAsia="仿宋" w:hAnsi="仿宋"/>
          <w:sz w:val="32"/>
          <w:szCs w:val="32"/>
          <w:highlight w:val="none"/>
        </w:rPr>
      </w:pPr>
      <w:r>
        <w:rPr>
          <w:rFonts w:ascii="仿宋" w:eastAsia="仿宋" w:hAnsi="仿宋" w:hint="eastAsia"/>
          <w:sz w:val="32"/>
          <w:szCs w:val="32"/>
          <w:highlight w:val="none"/>
        </w:rPr>
        <w:t>理学院本科生主修专业</w:t>
      </w:r>
      <w:r>
        <w:rPr>
          <w:rFonts w:ascii="仿宋" w:eastAsia="仿宋" w:hAnsi="仿宋"/>
          <w:sz w:val="32"/>
          <w:szCs w:val="32"/>
          <w:highlight w:val="none"/>
        </w:rPr>
        <w:t>确认</w:t>
      </w:r>
      <w:r>
        <w:rPr>
          <w:rFonts w:ascii="仿宋" w:eastAsia="仿宋" w:hAnsi="仿宋" w:hint="eastAsia"/>
          <w:sz w:val="32"/>
          <w:szCs w:val="32"/>
          <w:highlight w:val="none"/>
        </w:rPr>
        <w:t>工作委员会成员</w:t>
      </w:r>
    </w:p>
    <w:p>
      <w:pPr>
        <w:pStyle w:val="style0"/>
        <w:snapToGrid w:val="false"/>
        <w:spacing w:lineRule="auto" w:line="300"/>
        <w:ind w:firstLine="640" w:firstLineChars="200"/>
        <w:jc w:val="left"/>
        <w:rPr>
          <w:rFonts w:ascii="仿宋" w:eastAsia="仿宋" w:hAnsi="仿宋"/>
          <w:color w:val="000000"/>
          <w:sz w:val="32"/>
          <w:szCs w:val="32"/>
          <w:highlight w:val="none"/>
        </w:rPr>
      </w:pPr>
      <w:r>
        <w:rPr>
          <w:rFonts w:ascii="仿宋" w:eastAsia="仿宋" w:hAnsi="仿宋" w:hint="eastAsia"/>
          <w:color w:val="000000"/>
          <w:sz w:val="32"/>
          <w:szCs w:val="32"/>
          <w:highlight w:val="none"/>
        </w:rPr>
        <w:t xml:space="preserve">组  长： 耿延候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刘昌龙</w:t>
      </w:r>
    </w:p>
    <w:p>
      <w:pPr>
        <w:pStyle w:val="style0"/>
        <w:snapToGrid w:val="false"/>
        <w:spacing w:lineRule="auto" w:line="300"/>
        <w:ind w:firstLine="640" w:firstLineChars="200"/>
        <w:jc w:val="left"/>
        <w:rPr>
          <w:rFonts w:ascii="仿宋" w:eastAsia="仿宋" w:hAnsi="仿宋"/>
          <w:color w:val="000000"/>
          <w:sz w:val="32"/>
          <w:szCs w:val="32"/>
          <w:highlight w:val="none"/>
        </w:rPr>
      </w:pPr>
      <w:r>
        <w:rPr>
          <w:rFonts w:ascii="仿宋" w:eastAsia="仿宋" w:hAnsi="仿宋" w:hint="eastAsia"/>
          <w:color w:val="000000"/>
          <w:sz w:val="32"/>
          <w:szCs w:val="32"/>
          <w:highlight w:val="none"/>
        </w:rPr>
        <w:t xml:space="preserve">副组长： 金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 xml:space="preserve">朝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 xml:space="preserve">陈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乐</w:t>
      </w:r>
    </w:p>
    <w:p>
      <w:pPr>
        <w:pStyle w:val="style0"/>
        <w:snapToGrid w:val="false"/>
        <w:spacing w:lineRule="auto" w:line="300"/>
        <w:ind w:firstLine="640" w:firstLineChars="200"/>
        <w:jc w:val="left"/>
        <w:rPr>
          <w:rFonts w:ascii="仿宋" w:eastAsia="仿宋" w:hAnsi="仿宋"/>
          <w:color w:val="000000"/>
          <w:sz w:val="32"/>
          <w:szCs w:val="32"/>
          <w:highlight w:val="none"/>
        </w:rPr>
      </w:pPr>
      <w:r>
        <w:rPr>
          <w:rFonts w:ascii="仿宋" w:eastAsia="仿宋" w:hAnsi="仿宋" w:hint="eastAsia"/>
          <w:color w:val="000000"/>
          <w:sz w:val="32"/>
          <w:szCs w:val="32"/>
          <w:highlight w:val="none"/>
        </w:rPr>
        <w:t xml:space="preserve">委  员： 李志青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 xml:space="preserve">杨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 xml:space="preserve">辉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 xml:space="preserve">刘云朋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 xml:space="preserve">马 宁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 xml:space="preserve">胡智鑫 </w:t>
      </w:r>
    </w:p>
    <w:p>
      <w:pPr>
        <w:pStyle w:val="style0"/>
        <w:snapToGrid w:val="false"/>
        <w:spacing w:lineRule="auto" w:line="300"/>
        <w:ind w:firstLine="2080" w:firstLineChars="650"/>
        <w:jc w:val="left"/>
        <w:rPr>
          <w:rFonts w:ascii="仿宋" w:eastAsia="仿宋" w:hAnsi="仿宋"/>
          <w:color w:val="c00000"/>
          <w:sz w:val="32"/>
          <w:szCs w:val="32"/>
          <w:highlight w:val="none"/>
        </w:rPr>
      </w:pPr>
      <w:r>
        <w:rPr>
          <w:rFonts w:ascii="仿宋" w:eastAsia="仿宋" w:hAnsi="仿宋" w:hint="eastAsia"/>
          <w:color w:val="000000"/>
          <w:sz w:val="32"/>
          <w:szCs w:val="32"/>
          <w:highlight w:val="none"/>
        </w:rPr>
        <w:t xml:space="preserve">吴 </w:t>
      </w:r>
      <w:r>
        <w:rPr>
          <w:rFonts w:ascii="仿宋" w:eastAsia="仿宋" w:hAnsi="仿宋"/>
          <w:color w:val="000000"/>
          <w:sz w:val="32"/>
          <w:szCs w:val="32"/>
          <w:highlight w:val="none"/>
        </w:rPr>
        <w:t xml:space="preserve"> </w:t>
      </w:r>
      <w:r>
        <w:rPr>
          <w:rFonts w:ascii="仿宋" w:eastAsia="仿宋" w:hAnsi="仿宋" w:hint="eastAsia"/>
          <w:color w:val="000000"/>
          <w:sz w:val="32"/>
          <w:szCs w:val="32"/>
          <w:highlight w:val="none"/>
        </w:rPr>
        <w:t xml:space="preserve">頔 </w:t>
      </w:r>
      <w:r>
        <w:rPr>
          <w:rFonts w:ascii="仿宋" w:eastAsia="仿宋" w:hAnsi="仿宋"/>
          <w:color w:val="000000"/>
          <w:sz w:val="32"/>
          <w:szCs w:val="32"/>
          <w:highlight w:val="none"/>
        </w:rPr>
        <w:t xml:space="preserve"> </w:t>
      </w:r>
      <w:r>
        <w:rPr>
          <w:rFonts w:ascii="仿宋" w:eastAsia="仿宋" w:hAnsi="仿宋" w:hint="eastAsia"/>
          <w:sz w:val="32"/>
          <w:szCs w:val="32"/>
          <w:highlight w:val="none"/>
        </w:rPr>
        <w:t xml:space="preserve">李家辉  宋 </w:t>
      </w:r>
      <w:r>
        <w:rPr>
          <w:rFonts w:ascii="仿宋" w:eastAsia="仿宋" w:hAnsi="仿宋"/>
          <w:sz w:val="32"/>
          <w:szCs w:val="32"/>
          <w:highlight w:val="none"/>
        </w:rPr>
        <w:t xml:space="preserve"> 杰</w:t>
      </w:r>
    </w:p>
    <w:p>
      <w:pPr>
        <w:pStyle w:val="style0"/>
        <w:snapToGrid w:val="false"/>
        <w:spacing w:lineRule="auto" w:line="300"/>
        <w:ind w:firstLine="640" w:firstLineChars="200"/>
        <w:jc w:val="left"/>
        <w:rPr>
          <w:rFonts w:ascii="仿宋" w:eastAsia="仿宋" w:hAnsi="仿宋"/>
          <w:sz w:val="32"/>
          <w:szCs w:val="32"/>
          <w:highlight w:val="none"/>
        </w:rPr>
      </w:pPr>
      <w:r>
        <w:rPr>
          <w:rFonts w:ascii="仿宋" w:eastAsia="仿宋" w:hAnsi="仿宋" w:hint="eastAsia"/>
          <w:sz w:val="32"/>
          <w:szCs w:val="32"/>
          <w:highlight w:val="none"/>
        </w:rPr>
        <w:t>系统操作人：李家辉</w:t>
      </w:r>
    </w:p>
    <w:p>
      <w:pPr>
        <w:pStyle w:val="style0"/>
        <w:snapToGrid w:val="false"/>
        <w:spacing w:lineRule="auto" w:line="300"/>
        <w:ind w:firstLine="640" w:firstLineChars="200"/>
        <w:jc w:val="left"/>
        <w:rPr>
          <w:rFonts w:ascii="仿宋" w:eastAsia="仿宋" w:hAnsi="仿宋"/>
          <w:color w:val="c00000"/>
          <w:sz w:val="32"/>
          <w:szCs w:val="32"/>
          <w:highlight w:val="none"/>
        </w:rPr>
      </w:pPr>
      <w:r>
        <w:rPr>
          <w:rFonts w:ascii="仿宋" w:eastAsia="仿宋" w:hAnsi="仿宋" w:hint="eastAsia"/>
          <w:sz w:val="32"/>
          <w:szCs w:val="32"/>
          <w:highlight w:val="none"/>
        </w:rPr>
        <w:t>咨询联系人：李家辉</w:t>
      </w:r>
    </w:p>
    <w:p>
      <w:pPr>
        <w:pStyle w:val="style0"/>
        <w:snapToGrid w:val="false"/>
        <w:spacing w:lineRule="auto" w:line="300"/>
        <w:ind w:firstLine="640" w:firstLineChars="200"/>
        <w:jc w:val="left"/>
        <w:rPr>
          <w:rFonts w:ascii="仿宋" w:eastAsia="仿宋" w:hAnsi="仿宋"/>
          <w:sz w:val="32"/>
          <w:szCs w:val="32"/>
          <w:highlight w:val="none"/>
        </w:rPr>
      </w:pPr>
      <w:r>
        <w:rPr>
          <w:rFonts w:ascii="仿宋" w:eastAsia="仿宋" w:hAnsi="仿宋" w:hint="eastAsia"/>
          <w:sz w:val="32"/>
          <w:szCs w:val="32"/>
          <w:highlight w:val="none"/>
        </w:rPr>
        <w:t>联系</w:t>
      </w:r>
      <w:r>
        <w:rPr>
          <w:rFonts w:ascii="仿宋" w:eastAsia="仿宋" w:hAnsi="仿宋"/>
          <w:sz w:val="32"/>
          <w:szCs w:val="32"/>
          <w:highlight w:val="none"/>
        </w:rPr>
        <w:t>电话：</w:t>
      </w:r>
      <w:r>
        <w:rPr>
          <w:rFonts w:ascii="仿宋" w:eastAsia="仿宋" w:hAnsi="仿宋" w:hint="eastAsia"/>
          <w:sz w:val="32"/>
          <w:szCs w:val="32"/>
          <w:highlight w:val="none"/>
        </w:rPr>
        <w:t>022-27404118</w:t>
      </w:r>
    </w:p>
    <w:p>
      <w:pPr>
        <w:pStyle w:val="style0"/>
        <w:snapToGrid w:val="false"/>
        <w:spacing w:lineRule="auto" w:line="300"/>
        <w:ind w:left="511"/>
        <w:jc w:val="left"/>
        <w:rPr>
          <w:rFonts w:ascii="仿宋" w:eastAsia="仿宋" w:hAnsi="仿宋"/>
          <w:b/>
          <w:sz w:val="32"/>
          <w:szCs w:val="32"/>
          <w:highlight w:val="none"/>
        </w:rPr>
      </w:pPr>
    </w:p>
    <w:p>
      <w:pPr>
        <w:pStyle w:val="style0"/>
        <w:snapToGrid w:val="false"/>
        <w:spacing w:lineRule="auto" w:line="300"/>
        <w:ind w:left="511"/>
        <w:jc w:val="left"/>
        <w:rPr>
          <w:rFonts w:ascii="仿宋" w:eastAsia="仿宋" w:hAnsi="仿宋"/>
          <w:b/>
          <w:sz w:val="32"/>
          <w:szCs w:val="32"/>
          <w:highlight w:val="none"/>
        </w:rPr>
      </w:pPr>
      <w:r>
        <w:rPr>
          <w:rFonts w:ascii="仿宋" w:eastAsia="仿宋" w:hAnsi="仿宋" w:hint="eastAsia"/>
          <w:b/>
          <w:sz w:val="32"/>
          <w:szCs w:val="32"/>
          <w:highlight w:val="none"/>
        </w:rPr>
        <w:t>三、主修专业确认实施办法</w:t>
      </w:r>
    </w:p>
    <w:p>
      <w:pPr>
        <w:pStyle w:val="style0"/>
        <w:snapToGrid w:val="false"/>
        <w:spacing w:lineRule="auto" w:line="300"/>
        <w:ind w:firstLine="640" w:firstLineChars="200"/>
        <w:jc w:val="left"/>
        <w:rPr>
          <w:rFonts w:ascii="仿宋" w:eastAsia="仿宋" w:hAnsi="仿宋"/>
          <w:sz w:val="32"/>
          <w:szCs w:val="32"/>
          <w:highlight w:val="none"/>
        </w:rPr>
      </w:pPr>
      <w:r>
        <w:rPr>
          <w:rFonts w:ascii="仿宋" w:eastAsia="仿宋" w:hAnsi="仿宋" w:hint="eastAsia"/>
          <w:sz w:val="32"/>
          <w:szCs w:val="32"/>
          <w:highlight w:val="none"/>
        </w:rPr>
        <w:t>（一）类内各专业基本名额</w:t>
      </w:r>
    </w:p>
    <w:tbl>
      <w:tblPr>
        <w:tblStyle w:val="style105"/>
        <w:tblW w:w="786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087"/>
        <w:gridCol w:w="3774"/>
      </w:tblGrid>
      <w:tr>
        <w:trPr/>
        <w:tc>
          <w:tcPr>
            <w:tcW w:w="4087" w:type="dxa"/>
            <w:tcBorders/>
            <w:vAlign w:val="center"/>
          </w:tcPr>
          <w:p>
            <w:pPr>
              <w:pStyle w:val="style0"/>
              <w:snapToGrid w:val="false"/>
              <w:spacing w:lineRule="auto" w:line="300"/>
              <w:jc w:val="center"/>
              <w:rPr>
                <w:rFonts w:ascii="仿宋" w:eastAsia="仿宋" w:hAnsi="仿宋"/>
                <w:sz w:val="32"/>
                <w:szCs w:val="32"/>
                <w:highlight w:val="none"/>
              </w:rPr>
            </w:pPr>
            <w:r>
              <w:rPr>
                <w:rFonts w:ascii="仿宋" w:eastAsia="仿宋" w:hAnsi="仿宋" w:hint="eastAsia"/>
                <w:sz w:val="32"/>
                <w:szCs w:val="32"/>
                <w:highlight w:val="none"/>
              </w:rPr>
              <w:t>类内专业名称</w:t>
            </w:r>
          </w:p>
        </w:tc>
        <w:tc>
          <w:tcPr>
            <w:tcW w:w="3774" w:type="dxa"/>
            <w:tcBorders/>
            <w:vAlign w:val="center"/>
          </w:tcPr>
          <w:p>
            <w:pPr>
              <w:pStyle w:val="style0"/>
              <w:snapToGrid w:val="false"/>
              <w:spacing w:lineRule="auto" w:line="300"/>
              <w:jc w:val="center"/>
              <w:rPr>
                <w:rFonts w:ascii="仿宋" w:eastAsia="仿宋" w:hAnsi="仿宋"/>
                <w:sz w:val="32"/>
                <w:szCs w:val="32"/>
                <w:highlight w:val="none"/>
              </w:rPr>
            </w:pPr>
            <w:r>
              <w:rPr>
                <w:rFonts w:ascii="仿宋" w:eastAsia="仿宋" w:hAnsi="仿宋" w:hint="eastAsia"/>
                <w:sz w:val="32"/>
                <w:szCs w:val="32"/>
                <w:highlight w:val="none"/>
              </w:rPr>
              <w:t>占大类招生人数/比例</w:t>
            </w:r>
          </w:p>
        </w:tc>
      </w:tr>
      <w:tr>
        <w:tblPrEx/>
        <w:trPr/>
        <w:tc>
          <w:tcPr>
            <w:tcW w:w="4087" w:type="dxa"/>
            <w:tcBorders/>
            <w:vAlign w:val="center"/>
          </w:tcPr>
          <w:p>
            <w:pPr>
              <w:pStyle w:val="style0"/>
              <w:snapToGrid w:val="false"/>
              <w:spacing w:lineRule="auto" w:line="300"/>
              <w:jc w:val="center"/>
              <w:rPr>
                <w:rFonts w:ascii="仿宋" w:eastAsia="仿宋" w:hAnsi="仿宋"/>
                <w:sz w:val="32"/>
                <w:szCs w:val="32"/>
                <w:highlight w:val="none"/>
              </w:rPr>
            </w:pPr>
            <w:r>
              <w:rPr>
                <w:rFonts w:ascii="仿宋" w:eastAsia="仿宋" w:hAnsi="仿宋" w:hint="eastAsia"/>
                <w:sz w:val="32"/>
                <w:szCs w:val="32"/>
                <w:highlight w:val="none"/>
              </w:rPr>
              <w:t>应用化学专业</w:t>
            </w:r>
          </w:p>
        </w:tc>
        <w:tc>
          <w:tcPr>
            <w:tcW w:w="3774" w:type="dxa"/>
            <w:tcBorders/>
            <w:vAlign w:val="center"/>
          </w:tcPr>
          <w:p>
            <w:pPr>
              <w:pStyle w:val="style0"/>
              <w:snapToGrid w:val="false"/>
              <w:spacing w:lineRule="auto" w:line="300"/>
              <w:jc w:val="center"/>
              <w:rPr>
                <w:rFonts w:ascii="仿宋" w:eastAsia="仿宋" w:hAnsi="仿宋" w:hint="eastAsia"/>
                <w:sz w:val="32"/>
                <w:szCs w:val="32"/>
                <w:highlight w:val="none"/>
                <w:lang w:eastAsia="zh-CN"/>
              </w:rPr>
            </w:pPr>
            <w:r>
              <w:rPr>
                <w:rFonts w:ascii="仿宋" w:eastAsia="仿宋" w:hAnsi="仿宋" w:hint="eastAsia"/>
                <w:sz w:val="32"/>
                <w:szCs w:val="32"/>
                <w:highlight w:val="none"/>
                <w:lang w:eastAsia="zh-CN"/>
              </w:rPr>
              <w:t>71，51.8%</w:t>
            </w:r>
          </w:p>
        </w:tc>
      </w:tr>
      <w:tr>
        <w:tblPrEx/>
        <w:trPr/>
        <w:tc>
          <w:tcPr>
            <w:tcW w:w="4087" w:type="dxa"/>
            <w:tcBorders/>
            <w:vAlign w:val="center"/>
          </w:tcPr>
          <w:p>
            <w:pPr>
              <w:pStyle w:val="style0"/>
              <w:snapToGrid w:val="false"/>
              <w:spacing w:lineRule="auto" w:line="300"/>
              <w:jc w:val="center"/>
              <w:rPr>
                <w:rFonts w:ascii="仿宋" w:eastAsia="仿宋" w:hAnsi="仿宋"/>
                <w:sz w:val="32"/>
                <w:szCs w:val="32"/>
                <w:highlight w:val="none"/>
              </w:rPr>
            </w:pPr>
            <w:r>
              <w:rPr>
                <w:rFonts w:ascii="仿宋" w:eastAsia="仿宋" w:hAnsi="仿宋" w:hint="eastAsia"/>
                <w:sz w:val="32"/>
                <w:szCs w:val="32"/>
                <w:highlight w:val="none"/>
              </w:rPr>
              <w:t>应用物理学专业</w:t>
            </w:r>
          </w:p>
        </w:tc>
        <w:tc>
          <w:tcPr>
            <w:tcW w:w="3774" w:type="dxa"/>
            <w:tcBorders/>
            <w:vAlign w:val="center"/>
          </w:tcPr>
          <w:p>
            <w:pPr>
              <w:pStyle w:val="style0"/>
              <w:snapToGrid w:val="false"/>
              <w:spacing w:lineRule="auto" w:line="300"/>
              <w:jc w:val="center"/>
              <w:rPr>
                <w:rFonts w:ascii="仿宋" w:eastAsia="仿宋" w:hAnsi="仿宋" w:hint="eastAsia"/>
                <w:sz w:val="32"/>
                <w:szCs w:val="32"/>
                <w:highlight w:val="none"/>
                <w:lang w:eastAsia="zh-CN"/>
              </w:rPr>
            </w:pPr>
            <w:r>
              <w:rPr>
                <w:rFonts w:ascii="仿宋" w:eastAsia="仿宋" w:hAnsi="仿宋" w:hint="eastAsia"/>
                <w:sz w:val="32"/>
                <w:szCs w:val="32"/>
                <w:highlight w:val="none"/>
                <w:lang w:eastAsia="zh-CN"/>
              </w:rPr>
              <w:t>66，48.2%</w:t>
            </w:r>
          </w:p>
        </w:tc>
      </w:tr>
      <w:tr>
        <w:tblPrEx/>
        <w:trPr/>
        <w:tc>
          <w:tcPr>
            <w:tcW w:w="4087" w:type="dxa"/>
            <w:tcBorders/>
            <w:vAlign w:val="center"/>
          </w:tcPr>
          <w:p>
            <w:pPr>
              <w:pStyle w:val="style0"/>
              <w:snapToGrid w:val="false"/>
              <w:spacing w:lineRule="auto" w:line="300"/>
              <w:jc w:val="center"/>
              <w:rPr>
                <w:rFonts w:ascii="仿宋" w:eastAsia="仿宋" w:hAnsi="仿宋"/>
                <w:sz w:val="32"/>
                <w:szCs w:val="32"/>
                <w:highlight w:val="none"/>
              </w:rPr>
            </w:pPr>
            <w:r>
              <w:rPr>
                <w:rFonts w:ascii="仿宋" w:eastAsia="仿宋" w:hAnsi="仿宋" w:hint="eastAsia"/>
                <w:sz w:val="32"/>
                <w:szCs w:val="32"/>
                <w:highlight w:val="none"/>
              </w:rPr>
              <w:t>合计：</w:t>
            </w:r>
          </w:p>
        </w:tc>
        <w:tc>
          <w:tcPr>
            <w:tcW w:w="3774" w:type="dxa"/>
            <w:tcBorders/>
            <w:vAlign w:val="center"/>
          </w:tcPr>
          <w:p>
            <w:pPr>
              <w:pStyle w:val="style0"/>
              <w:snapToGrid w:val="false"/>
              <w:spacing w:lineRule="auto" w:line="300"/>
              <w:jc w:val="center"/>
              <w:rPr>
                <w:rFonts w:ascii="仿宋" w:eastAsia="仿宋" w:hAnsi="仿宋"/>
                <w:sz w:val="32"/>
                <w:szCs w:val="32"/>
                <w:highlight w:val="none"/>
              </w:rPr>
            </w:pPr>
            <w:r>
              <w:rPr>
                <w:rFonts w:ascii="仿宋" w:eastAsia="仿宋" w:hAnsi="仿宋" w:hint="eastAsia"/>
                <w:sz w:val="32"/>
                <w:szCs w:val="32"/>
                <w:highlight w:val="none"/>
                <w:lang w:eastAsia="zh-CN"/>
              </w:rPr>
              <w:t>137，</w:t>
            </w:r>
            <w:r>
              <w:rPr>
                <w:rFonts w:ascii="仿宋" w:eastAsia="仿宋" w:hAnsi="仿宋" w:hint="eastAsia"/>
                <w:sz w:val="32"/>
                <w:szCs w:val="32"/>
                <w:highlight w:val="none"/>
              </w:rPr>
              <w:t>1</w:t>
            </w:r>
            <w:r>
              <w:rPr>
                <w:rFonts w:ascii="仿宋" w:eastAsia="仿宋" w:hAnsi="仿宋"/>
                <w:sz w:val="32"/>
                <w:szCs w:val="32"/>
                <w:highlight w:val="none"/>
              </w:rPr>
              <w:t>00</w:t>
            </w:r>
            <w:r>
              <w:rPr>
                <w:rFonts w:ascii="仿宋" w:eastAsia="仿宋" w:hAnsi="仿宋" w:hint="eastAsia"/>
                <w:sz w:val="32"/>
                <w:szCs w:val="32"/>
                <w:highlight w:val="none"/>
              </w:rPr>
              <w:t>%</w:t>
            </w:r>
          </w:p>
        </w:tc>
      </w:tr>
    </w:tbl>
    <w:p>
      <w:pPr>
        <w:pStyle w:val="style0"/>
        <w:snapToGrid w:val="false"/>
        <w:spacing w:lineRule="auto" w:line="300"/>
        <w:ind w:firstLine="646" w:firstLineChars="202"/>
        <w:jc w:val="left"/>
        <w:rPr>
          <w:rFonts w:ascii="仿宋" w:eastAsia="仿宋" w:hAnsi="仿宋"/>
          <w:sz w:val="32"/>
          <w:szCs w:val="32"/>
          <w:highlight w:val="none"/>
        </w:rPr>
      </w:pPr>
    </w:p>
    <w:p>
      <w:pPr>
        <w:pStyle w:val="style0"/>
        <w:snapToGrid w:val="false"/>
        <w:spacing w:lineRule="auto" w:line="300"/>
        <w:ind w:firstLine="646" w:firstLineChars="202"/>
        <w:jc w:val="left"/>
        <w:rPr>
          <w:rFonts w:ascii="仿宋" w:eastAsia="仿宋" w:hAnsi="仿宋"/>
          <w:sz w:val="32"/>
          <w:szCs w:val="32"/>
          <w:highlight w:val="none"/>
        </w:rPr>
      </w:pPr>
      <w:r>
        <w:rPr>
          <w:rFonts w:ascii="仿宋" w:eastAsia="仿宋" w:hAnsi="仿宋" w:hint="eastAsia"/>
          <w:sz w:val="32"/>
          <w:szCs w:val="32"/>
          <w:highlight w:val="none"/>
        </w:rPr>
        <w:t>（二）主修专业确认遴选原则</w:t>
      </w:r>
    </w:p>
    <w:p>
      <w:pPr>
        <w:pStyle w:val="style0"/>
        <w:snapToGrid w:val="false"/>
        <w:spacing w:lineRule="auto" w:line="300"/>
        <w:ind w:firstLine="640" w:firstLineChars="200"/>
        <w:jc w:val="left"/>
        <w:rPr>
          <w:rFonts w:ascii="仿宋" w:eastAsia="仿宋" w:hAnsi="仿宋"/>
          <w:color w:val="000000"/>
          <w:sz w:val="32"/>
          <w:szCs w:val="32"/>
          <w:highlight w:val="none"/>
        </w:rPr>
      </w:pPr>
      <w:r>
        <w:rPr>
          <w:rFonts w:ascii="仿宋" w:eastAsia="仿宋" w:hAnsi="仿宋"/>
          <w:color w:val="000000"/>
          <w:sz w:val="32"/>
          <w:szCs w:val="32"/>
          <w:highlight w:val="none"/>
        </w:rPr>
        <w:t>主修专业确认遴选本着“志愿优先</w:t>
      </w:r>
      <w:r>
        <w:rPr>
          <w:rFonts w:ascii="仿宋" w:eastAsia="仿宋" w:hAnsi="仿宋" w:hint="eastAsia"/>
          <w:color w:val="000000"/>
          <w:sz w:val="32"/>
          <w:szCs w:val="32"/>
          <w:highlight w:val="none"/>
        </w:rPr>
        <w:t>、</w:t>
      </w:r>
      <w:r>
        <w:rPr>
          <w:rFonts w:ascii="仿宋" w:eastAsia="仿宋" w:hAnsi="仿宋"/>
          <w:color w:val="000000"/>
          <w:sz w:val="32"/>
          <w:szCs w:val="32"/>
          <w:highlight w:val="none"/>
        </w:rPr>
        <w:t>成绩排序”的原则，根据学生的专业志愿组织遴选，确定各专业接收</w:t>
      </w:r>
      <w:r>
        <w:rPr>
          <w:rFonts w:ascii="仿宋" w:eastAsia="仿宋" w:hAnsi="仿宋" w:hint="eastAsia"/>
          <w:color w:val="000000"/>
          <w:sz w:val="32"/>
          <w:szCs w:val="32"/>
          <w:highlight w:val="none"/>
        </w:rPr>
        <w:t>的</w:t>
      </w:r>
      <w:r>
        <w:rPr>
          <w:rFonts w:ascii="仿宋" w:eastAsia="仿宋" w:hAnsi="仿宋"/>
          <w:color w:val="000000"/>
          <w:sz w:val="32"/>
          <w:szCs w:val="32"/>
          <w:highlight w:val="none"/>
        </w:rPr>
        <w:t>学生名单。</w:t>
      </w:r>
    </w:p>
    <w:p>
      <w:pPr>
        <w:pStyle w:val="style0"/>
        <w:snapToGrid w:val="false"/>
        <w:spacing w:lineRule="auto" w:line="300"/>
        <w:ind w:firstLine="646" w:firstLineChars="202"/>
        <w:jc w:val="left"/>
        <w:rPr>
          <w:rFonts w:ascii="仿宋" w:eastAsia="仿宋" w:hAnsi="仿宋"/>
          <w:color w:val="000000"/>
          <w:sz w:val="32"/>
          <w:szCs w:val="32"/>
          <w:highlight w:val="none"/>
        </w:rPr>
      </w:pPr>
      <w:r>
        <w:rPr>
          <w:rFonts w:ascii="仿宋" w:eastAsia="仿宋" w:hAnsi="仿宋" w:hint="eastAsia"/>
          <w:color w:val="000000"/>
          <w:sz w:val="32"/>
          <w:szCs w:val="32"/>
          <w:highlight w:val="none"/>
        </w:rPr>
        <w:t>学院按照</w:t>
      </w:r>
      <w:r>
        <w:rPr>
          <w:rFonts w:ascii="仿宋" w:eastAsia="仿宋" w:hAnsi="仿宋"/>
          <w:color w:val="000000"/>
          <w:sz w:val="32"/>
          <w:szCs w:val="32"/>
          <w:highlight w:val="none"/>
        </w:rPr>
        <w:t>学生专业志愿优先原则，</w:t>
      </w:r>
      <w:r>
        <w:rPr>
          <w:rFonts w:ascii="仿宋" w:eastAsia="仿宋" w:hAnsi="仿宋" w:hint="eastAsia"/>
          <w:color w:val="000000"/>
          <w:sz w:val="32"/>
          <w:szCs w:val="32"/>
          <w:highlight w:val="none"/>
          <w:lang w:val="en-US" w:eastAsia="zh-CN"/>
        </w:rPr>
        <w:t>优先对高考成绩满足相应省份招生政策规定的大类内任选专业要求的学生进行遴选，</w:t>
      </w:r>
      <w:r>
        <w:rPr>
          <w:rFonts w:ascii="仿宋" w:eastAsia="仿宋" w:hAnsi="仿宋" w:hint="eastAsia"/>
          <w:color w:val="000000"/>
          <w:sz w:val="32"/>
          <w:szCs w:val="32"/>
          <w:highlight w:val="none"/>
          <w:lang w:val="en-US" w:eastAsia="zh-CN"/>
        </w:rPr>
        <w:t>其余学生</w:t>
      </w:r>
      <w:r>
        <w:rPr>
          <w:rFonts w:ascii="仿宋" w:eastAsia="仿宋" w:hAnsi="仿宋" w:hint="eastAsia"/>
          <w:color w:val="000000"/>
          <w:sz w:val="32"/>
          <w:szCs w:val="32"/>
          <w:highlight w:val="none"/>
        </w:rPr>
        <w:t>结合第一学期课程考试综合成绩，由高到低</w:t>
      </w:r>
      <w:r>
        <w:rPr>
          <w:rFonts w:ascii="仿宋" w:eastAsia="仿宋" w:hAnsi="仿宋"/>
          <w:color w:val="000000"/>
          <w:sz w:val="32"/>
          <w:szCs w:val="32"/>
          <w:highlight w:val="none"/>
        </w:rPr>
        <w:t>、分批次进行遴选。</w:t>
      </w:r>
    </w:p>
    <w:p>
      <w:pPr>
        <w:pStyle w:val="style0"/>
        <w:snapToGrid w:val="false"/>
        <w:spacing w:lineRule="auto" w:line="300"/>
        <w:ind w:firstLine="419" w:firstLineChars="131"/>
        <w:jc w:val="left"/>
        <w:rPr>
          <w:rFonts w:ascii="仿宋" w:eastAsia="仿宋" w:hAnsi="仿宋"/>
          <w:sz w:val="32"/>
          <w:szCs w:val="32"/>
          <w:highlight w:val="none"/>
        </w:rPr>
      </w:pPr>
      <w:r>
        <w:rPr>
          <w:rFonts w:ascii="仿宋" w:eastAsia="仿宋" w:hAnsi="仿宋" w:hint="eastAsia"/>
          <w:sz w:val="32"/>
          <w:szCs w:val="32"/>
          <w:highlight w:val="none"/>
        </w:rPr>
        <w:t>（1）当申请人数不大于专业基本名额时，申请学生全部确认进入该专业。</w:t>
      </w:r>
    </w:p>
    <w:p>
      <w:pPr>
        <w:pStyle w:val="style0"/>
        <w:snapToGrid w:val="false"/>
        <w:spacing w:lineRule="auto" w:line="300"/>
        <w:ind w:firstLine="419" w:firstLineChars="131"/>
        <w:jc w:val="left"/>
        <w:rPr>
          <w:rFonts w:ascii="仿宋" w:eastAsia="仿宋" w:hAnsi="仿宋"/>
          <w:sz w:val="32"/>
          <w:szCs w:val="32"/>
          <w:highlight w:val="none"/>
        </w:rPr>
      </w:pPr>
      <w:r>
        <w:rPr>
          <w:rFonts w:ascii="仿宋" w:eastAsia="仿宋" w:hAnsi="仿宋" w:hint="eastAsia"/>
          <w:sz w:val="32"/>
          <w:szCs w:val="32"/>
          <w:highlight w:val="none"/>
        </w:rPr>
        <w:t>（2）当学生申请人数大于专业基本名额时，该专业须依据学生第一学期加权成绩进行遴选。在同一批次志愿确认或遴选时，</w:t>
      </w:r>
      <w:r>
        <w:rPr>
          <w:rFonts w:ascii="仿宋" w:eastAsia="仿宋" w:hAnsi="仿宋" w:hint="eastAsia"/>
          <w:sz w:val="32"/>
          <w:szCs w:val="32"/>
          <w:highlight w:val="none"/>
          <w:lang w:val="en-US" w:eastAsia="zh-CN"/>
        </w:rPr>
        <w:t>除优先遴选的学生外，其余</w:t>
      </w:r>
      <w:r>
        <w:rPr>
          <w:rFonts w:ascii="仿宋" w:eastAsia="仿宋" w:hAnsi="仿宋" w:hint="eastAsia"/>
          <w:sz w:val="32"/>
          <w:szCs w:val="32"/>
          <w:highlight w:val="none"/>
        </w:rPr>
        <w:t>学生按成绩由高到低排序。</w:t>
      </w:r>
    </w:p>
    <w:p>
      <w:pPr>
        <w:pStyle w:val="style0"/>
        <w:snapToGrid w:val="false"/>
        <w:spacing w:lineRule="auto" w:line="300"/>
        <w:ind w:firstLine="419" w:firstLineChars="131"/>
        <w:jc w:val="left"/>
        <w:rPr>
          <w:rFonts w:ascii="仿宋" w:eastAsia="仿宋" w:hAnsi="仿宋"/>
          <w:sz w:val="32"/>
          <w:szCs w:val="32"/>
          <w:highlight w:val="none"/>
        </w:rPr>
      </w:pPr>
      <w:r>
        <w:rPr>
          <w:rFonts w:ascii="仿宋" w:eastAsia="仿宋" w:hAnsi="仿宋" w:hint="eastAsia"/>
          <w:sz w:val="32"/>
          <w:szCs w:val="32"/>
          <w:highlight w:val="none"/>
        </w:rPr>
        <w:t>（3）</w:t>
      </w:r>
      <w:r>
        <w:rPr>
          <w:rFonts w:ascii="仿宋" w:eastAsia="仿宋" w:hAnsi="仿宋" w:hint="eastAsia"/>
          <w:bCs/>
          <w:sz w:val="32"/>
          <w:szCs w:val="32"/>
          <w:highlight w:val="none"/>
        </w:rPr>
        <w:t>本科生主修专业确认工作委员会确定各主修专业学生名单，并公示3个工作日。公示期内如有异议，学生可向主修专业确认工作委员会提交纸质申诉单（提交到咨询联系人）。经公示无异议后，报教务处审核备案。</w:t>
      </w:r>
    </w:p>
    <w:p>
      <w:pPr>
        <w:pStyle w:val="style0"/>
        <w:snapToGrid w:val="false"/>
        <w:spacing w:lineRule="auto" w:line="300"/>
        <w:ind w:firstLine="646" w:firstLineChars="202"/>
        <w:jc w:val="left"/>
        <w:rPr>
          <w:rFonts w:ascii="仿宋" w:eastAsia="仿宋" w:hAnsi="仿宋"/>
          <w:sz w:val="32"/>
          <w:szCs w:val="32"/>
          <w:highlight w:val="none"/>
        </w:rPr>
      </w:pPr>
    </w:p>
    <w:p>
      <w:pPr>
        <w:pStyle w:val="style0"/>
        <w:snapToGrid w:val="false"/>
        <w:spacing w:lineRule="auto" w:line="300"/>
        <w:ind w:firstLine="646" w:firstLineChars="202"/>
        <w:jc w:val="left"/>
        <w:rPr>
          <w:rFonts w:ascii="仿宋" w:eastAsia="仿宋" w:hAnsi="仿宋"/>
          <w:sz w:val="32"/>
          <w:szCs w:val="32"/>
          <w:highlight w:val="none"/>
        </w:rPr>
      </w:pPr>
      <w:r>
        <w:rPr>
          <w:rFonts w:ascii="仿宋" w:eastAsia="仿宋" w:hAnsi="仿宋" w:hint="eastAsia"/>
          <w:sz w:val="32"/>
          <w:szCs w:val="32"/>
          <w:highlight w:val="none"/>
        </w:rPr>
        <w:t>（三）主修专业确认工作时间安排</w:t>
      </w:r>
    </w:p>
    <w:p>
      <w:pPr>
        <w:pStyle w:val="style0"/>
        <w:snapToGrid w:val="false"/>
        <w:spacing w:lineRule="auto" w:line="300"/>
        <w:ind w:firstLine="646" w:firstLineChars="202"/>
        <w:jc w:val="left"/>
        <w:rPr>
          <w:rFonts w:ascii="仿宋" w:eastAsia="仿宋" w:hAnsi="仿宋"/>
          <w:sz w:val="32"/>
          <w:szCs w:val="32"/>
          <w:highlight w:val="none"/>
        </w:rPr>
      </w:pPr>
      <w:r>
        <w:rPr>
          <w:rFonts w:ascii="仿宋" w:cs="仿宋_GB2312" w:eastAsia="仿宋" w:hAnsi="仿宋" w:hint="eastAsia"/>
          <w:sz w:val="32"/>
          <w:szCs w:val="32"/>
          <w:highlight w:val="none"/>
        </w:rPr>
        <w:t>(1)</w:t>
      </w:r>
      <w:r>
        <w:rPr>
          <w:rFonts w:ascii="仿宋" w:cs="仿宋_GB2312" w:eastAsia="仿宋" w:hAnsi="仿宋" w:hint="eastAsia"/>
          <w:sz w:val="32"/>
          <w:szCs w:val="32"/>
          <w:highlight w:val="none"/>
          <w:lang w:eastAsia="zh-CN"/>
        </w:rPr>
        <w:t>2025</w:t>
      </w:r>
      <w:r>
        <w:rPr>
          <w:rFonts w:ascii="仿宋" w:cs="仿宋_GB2312" w:eastAsia="仿宋" w:hAnsi="仿宋" w:hint="eastAsia"/>
          <w:sz w:val="32"/>
          <w:szCs w:val="32"/>
          <w:highlight w:val="none"/>
        </w:rPr>
        <w:t>年</w:t>
      </w:r>
      <w:r>
        <w:rPr>
          <w:rFonts w:ascii="仿宋" w:cs="仿宋_GB2312" w:eastAsia="仿宋" w:hAnsi="仿宋"/>
          <w:sz w:val="32"/>
          <w:szCs w:val="32"/>
          <w:highlight w:val="none"/>
        </w:rPr>
        <w:t>4</w:t>
      </w:r>
      <w:r>
        <w:rPr>
          <w:rFonts w:ascii="仿宋" w:cs="仿宋_GB2312" w:eastAsia="仿宋" w:hAnsi="仿宋" w:hint="eastAsia"/>
          <w:sz w:val="32"/>
          <w:szCs w:val="32"/>
          <w:highlight w:val="none"/>
        </w:rPr>
        <w:t>月</w:t>
      </w:r>
      <w:r>
        <w:rPr>
          <w:rFonts w:ascii="仿宋" w:cs="仿宋_GB2312" w:eastAsia="仿宋" w:hAnsi="仿宋"/>
          <w:sz w:val="32"/>
          <w:szCs w:val="32"/>
          <w:highlight w:val="none"/>
        </w:rPr>
        <w:t>1</w:t>
      </w:r>
      <w:r>
        <w:rPr>
          <w:rFonts w:ascii="仿宋" w:cs="仿宋_GB2312" w:eastAsia="仿宋" w:hAnsi="仿宋" w:hint="eastAsia"/>
          <w:sz w:val="32"/>
          <w:szCs w:val="32"/>
          <w:highlight w:val="none"/>
          <w:lang w:eastAsia="zh-CN"/>
        </w:rPr>
        <w:t>1</w:t>
      </w:r>
      <w:r>
        <w:rPr>
          <w:rFonts w:ascii="仿宋" w:cs="仿宋_GB2312" w:eastAsia="仿宋" w:hAnsi="仿宋" w:hint="eastAsia"/>
          <w:sz w:val="32"/>
          <w:szCs w:val="32"/>
          <w:highlight w:val="none"/>
        </w:rPr>
        <w:t>日1</w:t>
      </w:r>
      <w:r>
        <w:rPr>
          <w:rFonts w:ascii="仿宋" w:cs="仿宋_GB2312" w:eastAsia="仿宋" w:hAnsi="仿宋"/>
          <w:sz w:val="32"/>
          <w:szCs w:val="32"/>
          <w:highlight w:val="none"/>
        </w:rPr>
        <w:t>2:</w:t>
      </w:r>
      <w:r>
        <w:rPr>
          <w:rFonts w:ascii="仿宋" w:cs="仿宋_GB2312" w:eastAsia="仿宋" w:hAnsi="仿宋" w:hint="eastAsia"/>
          <w:sz w:val="32"/>
          <w:szCs w:val="32"/>
          <w:highlight w:val="none"/>
        </w:rPr>
        <w:t>0</w:t>
      </w:r>
      <w:r>
        <w:rPr>
          <w:rFonts w:ascii="仿宋" w:cs="仿宋_GB2312" w:eastAsia="仿宋" w:hAnsi="仿宋"/>
          <w:sz w:val="32"/>
          <w:szCs w:val="32"/>
          <w:highlight w:val="none"/>
        </w:rPr>
        <w:t>0</w:t>
      </w:r>
      <w:r>
        <w:rPr>
          <w:rFonts w:ascii="仿宋" w:cs="仿宋_GB2312" w:eastAsia="仿宋" w:hAnsi="仿宋" w:hint="eastAsia"/>
          <w:sz w:val="32"/>
          <w:szCs w:val="32"/>
          <w:highlight w:val="none"/>
        </w:rPr>
        <w:t>前，学生</w:t>
      </w:r>
      <w:r>
        <w:rPr>
          <w:rFonts w:ascii="仿宋" w:eastAsia="仿宋" w:hAnsi="仿宋"/>
          <w:sz w:val="32"/>
          <w:szCs w:val="32"/>
          <w:highlight w:val="none"/>
        </w:rPr>
        <w:t>在学校教务</w:t>
      </w:r>
      <w:r>
        <w:rPr>
          <w:rFonts w:ascii="仿宋" w:eastAsia="仿宋" w:hAnsi="仿宋" w:hint="eastAsia"/>
          <w:sz w:val="32"/>
          <w:szCs w:val="32"/>
          <w:highlight w:val="none"/>
        </w:rPr>
        <w:t>管理</w:t>
      </w:r>
      <w:r>
        <w:rPr>
          <w:rFonts w:ascii="仿宋" w:eastAsia="仿宋" w:hAnsi="仿宋"/>
          <w:sz w:val="32"/>
          <w:szCs w:val="32"/>
          <w:highlight w:val="none"/>
        </w:rPr>
        <w:t>系统</w:t>
      </w:r>
      <w:r>
        <w:rPr>
          <w:rFonts w:ascii="仿宋" w:eastAsia="仿宋" w:hAnsi="仿宋" w:hint="eastAsia"/>
          <w:sz w:val="28"/>
          <w:szCs w:val="28"/>
          <w:highlight w:val="none"/>
        </w:rPr>
        <w:t>（http://classes.tju.edu.cn）</w:t>
      </w:r>
      <w:r>
        <w:rPr>
          <w:rFonts w:ascii="仿宋" w:eastAsia="仿宋" w:hAnsi="仿宋" w:hint="eastAsia"/>
          <w:sz w:val="32"/>
          <w:szCs w:val="32"/>
          <w:highlight w:val="none"/>
        </w:rPr>
        <w:t>中</w:t>
      </w:r>
      <w:r>
        <w:rPr>
          <w:rFonts w:ascii="仿宋" w:eastAsia="仿宋" w:hAnsi="仿宋"/>
          <w:sz w:val="32"/>
          <w:szCs w:val="32"/>
          <w:highlight w:val="none"/>
        </w:rPr>
        <w:t>一次性提交对本大类所有专业排序的志愿申请。</w:t>
      </w:r>
      <w:r>
        <w:rPr>
          <w:rFonts w:ascii="仿宋" w:eastAsia="仿宋" w:hAnsi="仿宋" w:hint="eastAsia"/>
          <w:sz w:val="32"/>
          <w:szCs w:val="32"/>
          <w:highlight w:val="none"/>
        </w:rPr>
        <w:t>学生应根据自身的特点并参考各专业基本名额,经过全面及慎重考虑后填报专业志愿，志愿填报截止后不能</w:t>
      </w:r>
      <w:bookmarkStart w:id="0" w:name="_GoBack"/>
      <w:bookmarkEnd w:id="0"/>
      <w:r>
        <w:rPr>
          <w:rFonts w:ascii="仿宋" w:eastAsia="仿宋" w:hAnsi="仿宋" w:hint="eastAsia"/>
          <w:sz w:val="32"/>
          <w:szCs w:val="32"/>
          <w:highlight w:val="none"/>
        </w:rPr>
        <w:t>变更。</w:t>
      </w:r>
      <w:r>
        <w:rPr>
          <w:rFonts w:ascii="仿宋" w:eastAsia="仿宋" w:hAnsi="仿宋"/>
          <w:sz w:val="32"/>
          <w:szCs w:val="32"/>
          <w:highlight w:val="none"/>
        </w:rPr>
        <w:t>如学生未</w:t>
      </w:r>
      <w:r>
        <w:rPr>
          <w:rFonts w:ascii="仿宋" w:eastAsia="仿宋" w:hAnsi="仿宋" w:hint="eastAsia"/>
          <w:sz w:val="32"/>
          <w:szCs w:val="32"/>
          <w:highlight w:val="none"/>
        </w:rPr>
        <w:t>按时</w:t>
      </w:r>
      <w:r>
        <w:rPr>
          <w:rFonts w:ascii="仿宋" w:eastAsia="仿宋" w:hAnsi="仿宋"/>
          <w:sz w:val="32"/>
          <w:szCs w:val="32"/>
          <w:highlight w:val="none"/>
        </w:rPr>
        <w:t>提交</w:t>
      </w:r>
      <w:r>
        <w:rPr>
          <w:rFonts w:ascii="仿宋" w:eastAsia="仿宋" w:hAnsi="仿宋" w:hint="eastAsia"/>
          <w:sz w:val="32"/>
          <w:szCs w:val="32"/>
          <w:highlight w:val="none"/>
        </w:rPr>
        <w:t>本学院大</w:t>
      </w:r>
      <w:r>
        <w:rPr>
          <w:rFonts w:ascii="仿宋" w:eastAsia="仿宋" w:hAnsi="仿宋"/>
          <w:sz w:val="32"/>
          <w:szCs w:val="32"/>
          <w:highlight w:val="none"/>
        </w:rPr>
        <w:t>类内专业的志愿申请，学</w:t>
      </w:r>
      <w:r>
        <w:rPr>
          <w:rFonts w:ascii="仿宋" w:eastAsia="仿宋" w:hAnsi="仿宋" w:hint="eastAsia"/>
          <w:sz w:val="32"/>
          <w:szCs w:val="32"/>
          <w:highlight w:val="none"/>
        </w:rPr>
        <w:t>院</w:t>
      </w:r>
      <w:r>
        <w:rPr>
          <w:rFonts w:ascii="仿宋" w:eastAsia="仿宋" w:hAnsi="仿宋"/>
          <w:sz w:val="32"/>
          <w:szCs w:val="32"/>
          <w:highlight w:val="none"/>
        </w:rPr>
        <w:t>将通过教务</w:t>
      </w:r>
      <w:r>
        <w:rPr>
          <w:rFonts w:ascii="仿宋" w:eastAsia="仿宋" w:hAnsi="仿宋" w:hint="eastAsia"/>
          <w:sz w:val="32"/>
          <w:szCs w:val="32"/>
          <w:highlight w:val="none"/>
        </w:rPr>
        <w:t>管理</w:t>
      </w:r>
      <w:r>
        <w:rPr>
          <w:rFonts w:ascii="仿宋" w:eastAsia="仿宋" w:hAnsi="仿宋"/>
          <w:sz w:val="32"/>
          <w:szCs w:val="32"/>
          <w:highlight w:val="none"/>
        </w:rPr>
        <w:t>系统自动为该生在所属大类中分配有余</w:t>
      </w:r>
      <w:r>
        <w:rPr>
          <w:rFonts w:ascii="仿宋" w:eastAsia="仿宋" w:hAnsi="仿宋" w:hint="eastAsia"/>
          <w:sz w:val="32"/>
          <w:szCs w:val="32"/>
          <w:highlight w:val="none"/>
        </w:rPr>
        <w:t>额</w:t>
      </w:r>
      <w:r>
        <w:rPr>
          <w:rFonts w:ascii="仿宋" w:eastAsia="仿宋" w:hAnsi="仿宋"/>
          <w:sz w:val="32"/>
          <w:szCs w:val="32"/>
          <w:highlight w:val="none"/>
        </w:rPr>
        <w:t>的专业作为该生的主修专业。</w:t>
      </w:r>
    </w:p>
    <w:p>
      <w:pPr>
        <w:pStyle w:val="style0"/>
        <w:snapToGrid w:val="false"/>
        <w:spacing w:lineRule="auto" w:line="300"/>
        <w:ind w:firstLine="646" w:firstLineChars="202"/>
        <w:jc w:val="left"/>
        <w:rPr>
          <w:rFonts w:ascii="仿宋" w:eastAsia="仿宋" w:hAnsi="仿宋"/>
          <w:sz w:val="32"/>
          <w:szCs w:val="32"/>
          <w:highlight w:val="none"/>
        </w:rPr>
      </w:pPr>
      <w:r>
        <w:rPr>
          <w:rFonts w:ascii="仿宋" w:cs="仿宋" w:eastAsia="仿宋" w:hAnsi="仿宋" w:hint="eastAsia"/>
          <w:kern w:val="0"/>
          <w:sz w:val="32"/>
          <w:szCs w:val="32"/>
          <w:highlight w:val="none"/>
        </w:rPr>
        <w:t>(2)志愿填报截止后，该大类主修专业确认须按照实施细则中规定的方式进行遴选。</w:t>
      </w:r>
    </w:p>
    <w:p>
      <w:pPr>
        <w:pStyle w:val="style0"/>
        <w:snapToGrid w:val="false"/>
        <w:spacing w:lineRule="auto" w:line="300"/>
        <w:ind w:firstLine="640" w:firstLineChars="200"/>
        <w:jc w:val="left"/>
        <w:rPr>
          <w:rFonts w:ascii="仿宋" w:eastAsia="仿宋" w:hAnsi="仿宋"/>
          <w:color w:val="000000"/>
          <w:sz w:val="32"/>
          <w:szCs w:val="32"/>
          <w:highlight w:val="none"/>
        </w:rPr>
      </w:pPr>
      <w:r>
        <w:rPr>
          <w:rFonts w:ascii="仿宋" w:eastAsia="仿宋" w:hAnsi="仿宋" w:hint="eastAsia"/>
          <w:sz w:val="32"/>
          <w:szCs w:val="32"/>
          <w:highlight w:val="none"/>
        </w:rPr>
        <w:t>(3)</w:t>
      </w:r>
      <w:r>
        <w:rPr>
          <w:rFonts w:ascii="仿宋" w:cs="仿宋_GB2312" w:eastAsia="仿宋" w:hAnsi="仿宋" w:hint="eastAsia"/>
          <w:sz w:val="32"/>
          <w:szCs w:val="32"/>
          <w:highlight w:val="none"/>
        </w:rPr>
        <w:t>202</w:t>
      </w:r>
      <w:r>
        <w:rPr>
          <w:rFonts w:ascii="仿宋" w:cs="仿宋_GB2312" w:eastAsia="仿宋" w:hAnsi="仿宋" w:hint="eastAsia"/>
          <w:sz w:val="32"/>
          <w:szCs w:val="32"/>
          <w:highlight w:val="none"/>
          <w:lang w:eastAsia="zh-CN"/>
        </w:rPr>
        <w:t>5</w:t>
      </w:r>
      <w:r>
        <w:rPr>
          <w:rFonts w:ascii="仿宋" w:cs="仿宋_GB2312" w:eastAsia="仿宋" w:hAnsi="仿宋" w:hint="eastAsia"/>
          <w:sz w:val="32"/>
          <w:szCs w:val="32"/>
          <w:highlight w:val="none"/>
        </w:rPr>
        <w:t>年</w:t>
      </w:r>
      <w:r>
        <w:rPr>
          <w:rFonts w:ascii="仿宋" w:cs="仿宋_GB2312" w:eastAsia="仿宋" w:hAnsi="仿宋" w:hint="eastAsia"/>
          <w:sz w:val="32"/>
          <w:szCs w:val="32"/>
          <w:highlight w:val="none"/>
          <w:lang w:eastAsia="zh-CN"/>
        </w:rPr>
        <w:t>4</w:t>
      </w:r>
      <w:r>
        <w:rPr>
          <w:rFonts w:ascii="仿宋" w:cs="仿宋_GB2312" w:eastAsia="仿宋" w:hAnsi="仿宋" w:hint="eastAsia"/>
          <w:sz w:val="32"/>
          <w:szCs w:val="32"/>
          <w:highlight w:val="none"/>
        </w:rPr>
        <w:t>月</w:t>
      </w:r>
      <w:r>
        <w:rPr>
          <w:rFonts w:ascii="仿宋" w:cs="仿宋_GB2312" w:eastAsia="仿宋" w:hAnsi="仿宋"/>
          <w:sz w:val="32"/>
          <w:szCs w:val="32"/>
          <w:highlight w:val="none"/>
        </w:rPr>
        <w:t>1</w:t>
      </w:r>
      <w:r>
        <w:rPr>
          <w:rFonts w:ascii="仿宋" w:cs="仿宋_GB2312" w:eastAsia="仿宋" w:hAnsi="仿宋" w:hint="eastAsia"/>
          <w:sz w:val="32"/>
          <w:szCs w:val="32"/>
          <w:highlight w:val="none"/>
          <w:lang w:eastAsia="zh-CN"/>
        </w:rPr>
        <w:t>8</w:t>
      </w:r>
      <w:r>
        <w:rPr>
          <w:rFonts w:ascii="仿宋" w:cs="仿宋_GB2312" w:eastAsia="仿宋" w:hAnsi="仿宋" w:hint="eastAsia"/>
          <w:sz w:val="32"/>
          <w:szCs w:val="32"/>
          <w:highlight w:val="none"/>
        </w:rPr>
        <w:t>日</w:t>
      </w:r>
      <w:r>
        <w:rPr>
          <w:rFonts w:ascii="仿宋" w:cs="仿宋_GB2312" w:eastAsia="仿宋" w:hAnsi="仿宋" w:hint="eastAsia"/>
          <w:color w:val="000000"/>
          <w:sz w:val="32"/>
          <w:szCs w:val="32"/>
          <w:highlight w:val="none"/>
        </w:rPr>
        <w:t>前，</w:t>
      </w:r>
      <w:r>
        <w:rPr>
          <w:rFonts w:ascii="仿宋" w:eastAsia="仿宋" w:hAnsi="仿宋" w:hint="eastAsia"/>
          <w:color w:val="000000"/>
          <w:sz w:val="32"/>
          <w:szCs w:val="32"/>
          <w:highlight w:val="none"/>
        </w:rPr>
        <w:t>学院对通过主修专业确认遴选的学生名单予以公示。</w:t>
      </w:r>
    </w:p>
    <w:p>
      <w:pPr>
        <w:pStyle w:val="style0"/>
        <w:snapToGrid w:val="false"/>
        <w:spacing w:lineRule="auto" w:line="300"/>
        <w:ind w:firstLine="646" w:firstLineChars="202"/>
        <w:jc w:val="left"/>
        <w:rPr>
          <w:rFonts w:ascii="仿宋" w:eastAsia="仿宋" w:hAnsi="仿宋"/>
          <w:sz w:val="32"/>
          <w:szCs w:val="32"/>
          <w:highlight w:val="none"/>
        </w:rPr>
      </w:pPr>
      <w:r>
        <w:rPr>
          <w:rFonts w:ascii="仿宋" w:cs="仿宋_GB2312" w:eastAsia="仿宋" w:hAnsi="仿宋" w:hint="eastAsia"/>
          <w:color w:val="000000"/>
          <w:sz w:val="32"/>
          <w:szCs w:val="32"/>
          <w:highlight w:val="none"/>
        </w:rPr>
        <w:t>(4)</w:t>
      </w:r>
      <w:r>
        <w:rPr>
          <w:rFonts w:ascii="仿宋" w:cs="仿宋_GB2312" w:eastAsia="仿宋" w:hAnsi="仿宋" w:hint="eastAsia"/>
          <w:color w:val="000000"/>
          <w:sz w:val="32"/>
          <w:szCs w:val="32"/>
          <w:highlight w:val="none"/>
          <w:lang w:eastAsia="zh-CN"/>
        </w:rPr>
        <w:t>2025</w:t>
      </w:r>
      <w:r>
        <w:rPr>
          <w:rFonts w:ascii="仿宋" w:cs="仿宋_GB2312" w:eastAsia="仿宋" w:hAnsi="仿宋" w:hint="eastAsia"/>
          <w:sz w:val="32"/>
          <w:szCs w:val="32"/>
          <w:highlight w:val="none"/>
        </w:rPr>
        <w:t>年4月</w:t>
      </w:r>
      <w:r>
        <w:rPr>
          <w:rFonts w:ascii="仿宋" w:cs="仿宋_GB2312" w:eastAsia="仿宋" w:hAnsi="仿宋"/>
          <w:sz w:val="32"/>
          <w:szCs w:val="32"/>
          <w:highlight w:val="none"/>
        </w:rPr>
        <w:t>25</w:t>
      </w:r>
      <w:r>
        <w:rPr>
          <w:rFonts w:ascii="仿宋" w:cs="仿宋_GB2312" w:eastAsia="仿宋" w:hAnsi="仿宋" w:hint="eastAsia"/>
          <w:color w:val="000000"/>
          <w:sz w:val="32"/>
          <w:szCs w:val="32"/>
          <w:highlight w:val="none"/>
        </w:rPr>
        <w:t>日前</w:t>
      </w:r>
      <w:r>
        <w:rPr>
          <w:rFonts w:ascii="仿宋" w:eastAsia="仿宋" w:hAnsi="仿宋" w:hint="eastAsia"/>
          <w:color w:val="000000"/>
          <w:sz w:val="32"/>
          <w:szCs w:val="32"/>
          <w:highlight w:val="none"/>
        </w:rPr>
        <w:t>学院将</w:t>
      </w:r>
      <w:r>
        <w:rPr>
          <w:rFonts w:ascii="仿宋" w:eastAsia="仿宋" w:hAnsi="仿宋" w:hint="eastAsia"/>
          <w:sz w:val="32"/>
          <w:szCs w:val="32"/>
          <w:highlight w:val="none"/>
        </w:rPr>
        <w:t>最终通过专业遴选的学生名单报送教务处。</w:t>
      </w:r>
      <w:r>
        <w:rPr>
          <w:rFonts w:ascii="仿宋" w:cs="仿宋_GB2312" w:eastAsia="仿宋" w:hAnsi="仿宋" w:hint="eastAsia"/>
          <w:sz w:val="32"/>
          <w:szCs w:val="32"/>
          <w:highlight w:val="none"/>
        </w:rPr>
        <w:t>教务处报送学校批准并发文予以公布，后续在教务管理系统中做相应的学籍异动</w:t>
      </w:r>
      <w:r>
        <w:rPr>
          <w:rFonts w:ascii="仿宋" w:eastAsia="仿宋" w:hAnsi="仿宋" w:hint="eastAsia"/>
          <w:sz w:val="32"/>
          <w:szCs w:val="32"/>
          <w:highlight w:val="none"/>
        </w:rPr>
        <w:t xml:space="preserve"> 。</w:t>
      </w:r>
    </w:p>
    <w:p>
      <w:pPr>
        <w:pStyle w:val="style0"/>
        <w:snapToGrid w:val="false"/>
        <w:spacing w:lineRule="auto" w:line="300"/>
        <w:ind w:firstLine="643" w:firstLineChars="200"/>
        <w:jc w:val="left"/>
        <w:rPr>
          <w:rFonts w:ascii="仿宋" w:eastAsia="仿宋" w:hAnsi="仿宋"/>
          <w:b/>
          <w:sz w:val="32"/>
          <w:szCs w:val="32"/>
          <w:highlight w:val="none"/>
        </w:rPr>
      </w:pPr>
    </w:p>
    <w:p>
      <w:pPr>
        <w:pStyle w:val="style0"/>
        <w:snapToGrid w:val="false"/>
        <w:spacing w:lineRule="auto" w:line="300"/>
        <w:ind w:firstLine="643" w:firstLineChars="200"/>
        <w:jc w:val="left"/>
        <w:rPr>
          <w:rFonts w:ascii="仿宋" w:eastAsia="仿宋" w:hAnsi="仿宋"/>
          <w:b/>
          <w:sz w:val="32"/>
          <w:szCs w:val="32"/>
          <w:highlight w:val="none"/>
        </w:rPr>
      </w:pPr>
      <w:r>
        <w:rPr>
          <w:rFonts w:ascii="仿宋" w:eastAsia="仿宋" w:hAnsi="仿宋" w:hint="eastAsia"/>
          <w:b/>
          <w:sz w:val="32"/>
          <w:szCs w:val="32"/>
          <w:highlight w:val="none"/>
        </w:rPr>
        <w:t>四</w:t>
      </w:r>
      <w:r>
        <w:rPr>
          <w:rFonts w:ascii="仿宋" w:eastAsia="仿宋" w:hAnsi="仿宋"/>
          <w:b/>
          <w:sz w:val="32"/>
          <w:szCs w:val="32"/>
          <w:highlight w:val="none"/>
        </w:rPr>
        <w:t>、</w:t>
      </w:r>
      <w:r>
        <w:rPr>
          <w:rFonts w:ascii="仿宋" w:eastAsia="仿宋" w:hAnsi="仿宋" w:hint="eastAsia"/>
          <w:b/>
          <w:sz w:val="32"/>
          <w:szCs w:val="32"/>
          <w:highlight w:val="none"/>
        </w:rPr>
        <w:t>相关原则要求</w:t>
      </w:r>
    </w:p>
    <w:p>
      <w:pPr>
        <w:pStyle w:val="style0"/>
        <w:snapToGrid w:val="false"/>
        <w:spacing w:lineRule="auto" w:line="300"/>
        <w:ind w:firstLine="640" w:firstLineChars="200"/>
        <w:rPr>
          <w:rFonts w:ascii="仿宋" w:eastAsia="仿宋" w:hAnsi="仿宋"/>
          <w:sz w:val="32"/>
          <w:szCs w:val="32"/>
          <w:highlight w:val="none"/>
        </w:rPr>
      </w:pPr>
      <w:r>
        <w:rPr>
          <w:rFonts w:ascii="仿宋" w:cs="仿宋_GB2312" w:eastAsia="仿宋" w:hAnsi="仿宋" w:hint="eastAsia"/>
          <w:sz w:val="32"/>
          <w:szCs w:val="32"/>
          <w:highlight w:val="none"/>
        </w:rPr>
        <w:t>除实施细则中所做的特别规定外，相关遴选原则和条件经公布后不能修改。</w:t>
      </w:r>
    </w:p>
    <w:p>
      <w:pPr>
        <w:pStyle w:val="style0"/>
        <w:snapToGrid w:val="false"/>
        <w:spacing w:lineRule="auto" w:line="300"/>
        <w:ind w:firstLine="640" w:firstLineChars="200"/>
        <w:jc w:val="left"/>
        <w:rPr>
          <w:rFonts w:ascii="仿宋" w:eastAsia="仿宋" w:hAnsi="仿宋"/>
          <w:sz w:val="32"/>
          <w:szCs w:val="32"/>
          <w:highlight w:val="none"/>
        </w:rPr>
      </w:pPr>
      <w:r>
        <w:rPr>
          <w:rFonts w:ascii="仿宋" w:eastAsia="仿宋" w:hAnsi="仿宋" w:hint="eastAsia"/>
          <w:sz w:val="32"/>
          <w:szCs w:val="32"/>
          <w:highlight w:val="none"/>
        </w:rPr>
        <w:t>本实施细则由主修</w:t>
      </w:r>
      <w:r>
        <w:rPr>
          <w:rFonts w:ascii="仿宋" w:eastAsia="仿宋" w:hAnsi="仿宋"/>
          <w:sz w:val="32"/>
          <w:szCs w:val="32"/>
          <w:highlight w:val="none"/>
        </w:rPr>
        <w:t>专业确认工作</w:t>
      </w:r>
      <w:r>
        <w:rPr>
          <w:rFonts w:ascii="仿宋" w:eastAsia="仿宋" w:hAnsi="仿宋" w:hint="eastAsia"/>
          <w:sz w:val="32"/>
          <w:szCs w:val="32"/>
          <w:highlight w:val="none"/>
        </w:rPr>
        <w:t>委员会负责解释。</w:t>
      </w:r>
    </w:p>
    <w:p>
      <w:pPr>
        <w:pStyle w:val="style0"/>
        <w:snapToGrid w:val="false"/>
        <w:spacing w:lineRule="auto" w:line="300"/>
        <w:jc w:val="left"/>
        <w:rPr>
          <w:rFonts w:ascii="仿宋" w:eastAsia="仿宋" w:hAnsi="仿宋"/>
          <w:sz w:val="32"/>
          <w:szCs w:val="32"/>
          <w:highlight w:val="none"/>
        </w:rPr>
      </w:pPr>
    </w:p>
    <w:p>
      <w:pPr>
        <w:pStyle w:val="style0"/>
        <w:snapToGrid w:val="false"/>
        <w:spacing w:lineRule="auto" w:line="300"/>
        <w:jc w:val="left"/>
        <w:rPr>
          <w:rFonts w:ascii="仿宋" w:eastAsia="仿宋" w:hAnsi="仿宋"/>
          <w:sz w:val="36"/>
          <w:szCs w:val="36"/>
          <w:highlight w:val="none"/>
        </w:rPr>
      </w:pPr>
      <w:r>
        <w:rPr>
          <w:rFonts w:ascii="仿宋" w:eastAsia="仿宋" w:hAnsi="仿宋" w:hint="eastAsia"/>
          <w:sz w:val="32"/>
          <w:szCs w:val="32"/>
          <w:highlight w:val="none"/>
        </w:rPr>
        <w:t xml:space="preserve"> </w:t>
      </w:r>
      <w:r>
        <w:rPr>
          <w:rFonts w:ascii="仿宋" w:eastAsia="仿宋" w:hAnsi="仿宋"/>
          <w:sz w:val="32"/>
          <w:szCs w:val="32"/>
          <w:highlight w:val="none"/>
        </w:rPr>
        <w:t xml:space="preserve">                                          </w:t>
      </w:r>
      <w:r>
        <w:rPr>
          <w:rFonts w:ascii="仿宋" w:eastAsia="仿宋" w:hAnsi="仿宋" w:hint="eastAsia"/>
          <w:sz w:val="36"/>
          <w:szCs w:val="36"/>
          <w:highlight w:val="none"/>
        </w:rPr>
        <w:t>理学院</w:t>
      </w:r>
    </w:p>
    <w:p>
      <w:pPr>
        <w:pStyle w:val="style0"/>
        <w:snapToGrid w:val="false"/>
        <w:spacing w:lineRule="auto" w:line="300"/>
        <w:jc w:val="left"/>
        <w:rPr>
          <w:rFonts w:ascii="仿宋" w:eastAsia="仿宋" w:hAnsi="仿宋"/>
          <w:sz w:val="32"/>
          <w:szCs w:val="32"/>
          <w:highlight w:val="none"/>
        </w:rPr>
      </w:pPr>
      <w:r>
        <w:rPr>
          <w:rFonts w:ascii="仿宋" w:eastAsia="仿宋" w:hAnsi="仿宋" w:hint="eastAsia"/>
          <w:sz w:val="32"/>
          <w:szCs w:val="32"/>
          <w:highlight w:val="none"/>
        </w:rPr>
        <w:t xml:space="preserve">                                           </w:t>
      </w:r>
      <w:r>
        <w:rPr>
          <w:rFonts w:ascii="仿宋" w:eastAsia="仿宋" w:hAnsi="仿宋" w:hint="eastAsia"/>
          <w:sz w:val="32"/>
          <w:szCs w:val="32"/>
          <w:highlight w:val="none"/>
          <w:lang w:eastAsia="zh-CN"/>
        </w:rPr>
        <w:t>2024年8月</w:t>
      </w:r>
    </w:p>
    <w:p>
      <w:pPr>
        <w:pStyle w:val="style0"/>
        <w:snapToGrid w:val="false"/>
        <w:spacing w:lineRule="auto" w:line="300"/>
        <w:jc w:val="left"/>
        <w:rPr>
          <w:rFonts w:ascii="仿宋" w:eastAsia="仿宋" w:hAnsi="仿宋"/>
          <w:sz w:val="28"/>
          <w:szCs w:val="28"/>
          <w:highlight w:val="none"/>
        </w:rPr>
      </w:pPr>
    </w:p>
    <w:sectPr>
      <w:pgSz w:w="11906" w:h="16838" w:orient="portrait"/>
      <w:pgMar w:top="1660" w:right="1286" w:bottom="173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002020204"/>
    <w:charset w:val="00"/>
    <w:family w:val="swiss"/>
    <w:pitch w:val="default"/>
    <w:sig w:usb0="E0002AFF" w:usb1="C0007843" w:usb2="00000009" w:usb3="00000000" w:csb0="400001FF" w:csb1="FFFF0000"/>
  </w:font>
  <w:font w:name="黑体">
    <w:altName w:val="黑体"/>
    <w:panose1 w:val="02010609060001010101"/>
    <w:charset w:val="00"/>
    <w:family w:val="auto"/>
    <w:pitch w:val="default"/>
    <w:sig w:usb0="800002BF" w:usb1="38CF7CFA" w:usb2="00000016" w:usb3="00000000" w:csb0="00040001" w:csb1="00000000"/>
  </w:font>
  <w:font w:name="Courier New">
    <w:altName w:val="Courier New"/>
    <w:panose1 w:val="02070309020002020404"/>
    <w:charset w:val="00"/>
    <w:family w:val="modern"/>
    <w:pitch w:val="default"/>
    <w:sig w:usb0="E0002AFF" w:usb1="C0007843" w:usb2="00000009" w:usb3="00000000" w:csb0="400001FF" w:csb1="FFFF0000"/>
  </w:font>
  <w:font w:name="Symbol">
    <w:altName w:val="Symbol"/>
    <w:panose1 w:val="05050102010007020507"/>
    <w:charset w:val="00"/>
    <w:family w:val="roman"/>
    <w:pitch w:val="default"/>
    <w:sig w:usb0="00000000" w:usb1="00000000" w:usb2="00000000" w:usb3="00000000" w:csb0="80000000" w:csb1="00000000"/>
  </w:font>
  <w:font w:name="Cambria">
    <w:altName w:val="Cambria"/>
    <w:panose1 w:val="02040503050004030204"/>
    <w:charset w:val="00"/>
    <w:family w:val="roman"/>
    <w:pitch w:val="default"/>
    <w:sig w:usb0="00000000" w:usb1="00000000" w:usb2="00000000" w:usb3="00000000" w:csb0="0000019F" w:csb1="00000000"/>
  </w:font>
  <w:font w:name="Calibri">
    <w:altName w:val="Calibri"/>
    <w:panose1 w:val="020f0502020002030204"/>
    <w:charset w:val="00"/>
    <w:family w:val="swiss"/>
    <w:pitch w:val="default"/>
    <w:sig w:usb0="00000000" w:usb1="00000000" w:usb2="00000001" w:usb3="00000000" w:csb0="0000019F" w:csb1="00000000"/>
  </w:font>
  <w:font w:name="楷体_GB2312">
    <w:altName w:val="楷体"/>
    <w:panose1 w:val="00000000000000000000"/>
    <w:charset w:val="86"/>
    <w:family w:val="modern"/>
    <w:pitch w:val="default"/>
    <w:sig w:usb0="00000000" w:usb1="00000000" w:usb2="00000010" w:usb3="00000000" w:csb0="00040000" w:csb1="00000000"/>
  </w:font>
  <w:font w:name="仿宋">
    <w:altName w:val="仿宋"/>
    <w:panose1 w:val="02010609060001010101"/>
    <w:charset w:val="86"/>
    <w:family w:val="modern"/>
    <w:pitch w:val="default"/>
    <w:sig w:usb0="00000000" w:usb1="00000000"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altName w:val="楷体"/>
    <w:panose1 w:val="020106090600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4A72304"/>
    <w:lvl w:ilvl="0">
      <w:start w:val="1"/>
      <w:numFmt w:val="chineseCounting"/>
      <w:suff w:val="nothing"/>
      <w:lvlText w:val="%1、"/>
      <w:lvlJc w:val="left"/>
      <w:pPr/>
    </w:lvl>
  </w:abstractNum>
  <w:abstractNum w:abstractNumId="1">
    <w:nsid w:val="00000001"/>
    <w:multiLevelType w:val="singleLevel"/>
    <w:tmpl w:val="4EB4EB89"/>
    <w:lvl w:ilvl="0">
      <w:start w:val="1"/>
      <w:numFmt w:val="chineseCounting"/>
      <w:suff w:val="space"/>
      <w:lvlText w:val="（%1）"/>
      <w:lvlJc w:val="left"/>
      <w:pPr/>
      <w:rPr>
        <w:rFonts w:hint="eastAsia"/>
      </w:r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uiPriority w:val="1"/>
  </w:style>
  <w:style w:type="table" w:default="1" w:styleId="style105">
    <w:name w:val="Normal Table"/>
    <w:next w:val="style105"/>
    <w:uiPriority w:val="99"/>
    <w:pPr/>
    <w:rPr/>
    <w:tblPr>
      <w:tblLayout w:type="fixed"/>
      <w:tblCellMar>
        <w:top w:w="0" w:type="dxa"/>
        <w:left w:w="108" w:type="dxa"/>
        <w:bottom w:w="0" w:type="dxa"/>
        <w:right w:w="108" w:type="dxa"/>
      </w:tblCellMar>
    </w:tblPr>
    <w:tcPr>
      <w:tcBorders/>
    </w:tcPr>
  </w:style>
  <w:style w:type="paragraph" w:styleId="style106">
    <w:name w:val="annotation subject"/>
    <w:basedOn w:val="style30"/>
    <w:next w:val="style30"/>
    <w:link w:val="style4105"/>
    <w:qFormat/>
    <w:uiPriority w:val="0"/>
    <w:pPr/>
    <w:rPr>
      <w:b/>
      <w:bCs/>
    </w:rPr>
  </w:style>
  <w:style w:type="paragraph" w:styleId="style30">
    <w:name w:val="annotation text"/>
    <w:basedOn w:val="style0"/>
    <w:next w:val="style30"/>
    <w:link w:val="style4104"/>
    <w:qFormat/>
    <w:uiPriority w:val="0"/>
    <w:pPr>
      <w:jc w:val="left"/>
    </w:pPr>
    <w:rPr/>
  </w:style>
  <w:style w:type="paragraph" w:styleId="style66">
    <w:name w:val="Body Text"/>
    <w:basedOn w:val="style0"/>
    <w:next w:val="style66"/>
    <w:link w:val="style4100"/>
    <w:qFormat/>
    <w:uiPriority w:val="0"/>
    <w:pPr/>
    <w:rPr>
      <w:rFonts w:ascii="楷体_GB2312" w:eastAsia="楷体_GB2312"/>
      <w:sz w:val="30"/>
      <w:szCs w:val="20"/>
    </w:rPr>
  </w:style>
  <w:style w:type="paragraph" w:styleId="style153">
    <w:name w:val="Balloon Text"/>
    <w:basedOn w:val="style0"/>
    <w:next w:val="style153"/>
    <w:link w:val="style4097"/>
    <w:qFormat/>
    <w:uiPriority w:val="0"/>
    <w:pPr/>
    <w:rPr>
      <w:sz w:val="18"/>
      <w:szCs w:val="18"/>
    </w:rPr>
  </w:style>
  <w:style w:type="paragraph" w:styleId="style32">
    <w:name w:val="footer"/>
    <w:basedOn w:val="style0"/>
    <w:next w:val="style32"/>
    <w:link w:val="style4099"/>
    <w:qFormat/>
    <w:uiPriority w:val="0"/>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8"/>
    <w:qFormat/>
    <w:uiPriority w:val="0"/>
    <w:pPr>
      <w:pBdr>
        <w:bottom w:val="single" w:sz="6" w:space="1" w:color="auto"/>
      </w:pBdr>
      <w:tabs>
        <w:tab w:val="center" w:leader="none" w:pos="4153"/>
        <w:tab w:val="right" w:leader="none" w:pos="8306"/>
      </w:tabs>
      <w:snapToGrid w:val="false"/>
      <w:jc w:val="center"/>
    </w:pPr>
    <w:rPr>
      <w:sz w:val="18"/>
      <w:szCs w:val="18"/>
    </w:rPr>
  </w:style>
  <w:style w:type="character" w:styleId="style39">
    <w:name w:val="annotation reference"/>
    <w:basedOn w:val="style65"/>
    <w:next w:val="style39"/>
    <w:qFormat/>
    <w:uiPriority w:val="0"/>
    <w:rPr>
      <w:sz w:val="21"/>
      <w:szCs w:val="21"/>
    </w:rPr>
  </w:style>
  <w:style w:type="table" w:styleId="style154">
    <w:name w:val="Table Grid"/>
    <w:basedOn w:val="style105"/>
    <w:next w:val="style154"/>
    <w:qFormat/>
    <w:uiPriority w:val="0"/>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
    <w:tcPr>
      <w:tcBorders/>
    </w:tcPr>
  </w:style>
  <w:style w:type="character" w:customStyle="1" w:styleId="style4097">
    <w:name w:val="批注框文本 Char"/>
    <w:basedOn w:val="style65"/>
    <w:next w:val="style4097"/>
    <w:link w:val="style153"/>
    <w:qFormat/>
    <w:uiPriority w:val="0"/>
    <w:rPr>
      <w:kern w:val="2"/>
      <w:sz w:val="18"/>
      <w:szCs w:val="18"/>
    </w:rPr>
  </w:style>
  <w:style w:type="character" w:customStyle="1" w:styleId="style4098">
    <w:name w:val="页眉 Char"/>
    <w:basedOn w:val="style65"/>
    <w:next w:val="style4098"/>
    <w:link w:val="style31"/>
    <w:qFormat/>
    <w:uiPriority w:val="0"/>
    <w:rPr>
      <w:kern w:val="2"/>
      <w:sz w:val="18"/>
      <w:szCs w:val="18"/>
    </w:rPr>
  </w:style>
  <w:style w:type="character" w:customStyle="1" w:styleId="style4099">
    <w:name w:val="页脚 Char"/>
    <w:basedOn w:val="style65"/>
    <w:next w:val="style4099"/>
    <w:link w:val="style32"/>
    <w:qFormat/>
    <w:uiPriority w:val="0"/>
    <w:rPr>
      <w:kern w:val="2"/>
      <w:sz w:val="18"/>
      <w:szCs w:val="18"/>
    </w:rPr>
  </w:style>
  <w:style w:type="character" w:customStyle="1" w:styleId="style4100">
    <w:name w:val="正文文本 Char"/>
    <w:next w:val="style4100"/>
    <w:link w:val="style66"/>
    <w:qFormat/>
    <w:uiPriority w:val="0"/>
    <w:rPr>
      <w:rFonts w:ascii="楷体_GB2312" w:eastAsia="楷体_GB2312"/>
      <w:kern w:val="2"/>
      <w:sz w:val="30"/>
    </w:rPr>
  </w:style>
  <w:style w:type="character" w:customStyle="1" w:styleId="style4101">
    <w:name w:val="正文文本 Char1"/>
    <w:basedOn w:val="style65"/>
    <w:next w:val="style4101"/>
    <w:qFormat/>
    <w:uiPriority w:val="0"/>
    <w:rPr>
      <w:kern w:val="2"/>
      <w:sz w:val="21"/>
      <w:szCs w:val="24"/>
    </w:rPr>
  </w:style>
  <w:style w:type="paragraph" w:customStyle="1" w:styleId="style4102">
    <w:name w:val="msolistparagraph"/>
    <w:basedOn w:val="style0"/>
    <w:next w:val="style4102"/>
    <w:qFormat/>
    <w:uiPriority w:val="0"/>
    <w:pPr>
      <w:ind w:firstLine="420" w:firstLineChars="200"/>
    </w:pPr>
    <w:rPr>
      <w:rFonts w:ascii="Times New Roman" w:cs="Times New Roman" w:eastAsia="宋体" w:hAnsi="Times New Roman"/>
      <w:szCs w:val="20"/>
    </w:rPr>
  </w:style>
  <w:style w:type="paragraph" w:customStyle="1" w:styleId="style4103">
    <w:name w:val="List Paragraph_11f8d893-a12c-4dfe-b163-359d1d97bc60"/>
    <w:basedOn w:val="style0"/>
    <w:next w:val="style4103"/>
    <w:qFormat/>
    <w:uiPriority w:val="99"/>
    <w:pPr>
      <w:ind w:firstLine="420" w:firstLineChars="200"/>
    </w:pPr>
    <w:rPr/>
  </w:style>
  <w:style w:type="character" w:customStyle="1" w:styleId="style4104">
    <w:name w:val="批注文字 Char"/>
    <w:basedOn w:val="style65"/>
    <w:next w:val="style4104"/>
    <w:link w:val="style30"/>
    <w:qFormat/>
    <w:uiPriority w:val="0"/>
    <w:rPr>
      <w:rFonts w:ascii="Calibri" w:cs="宋体" w:eastAsia="宋体" w:hAnsi="Calibri"/>
      <w:kern w:val="2"/>
      <w:sz w:val="21"/>
      <w:szCs w:val="24"/>
    </w:rPr>
  </w:style>
  <w:style w:type="character" w:customStyle="1" w:styleId="style4105">
    <w:name w:val="批注主题 Char"/>
    <w:basedOn w:val="style4104"/>
    <w:next w:val="style4105"/>
    <w:link w:val="style106"/>
    <w:qFormat/>
    <w:uiPriority w:val="0"/>
    <w:rPr>
      <w:rFonts w:ascii="Calibri" w:cs="宋体" w:eastAsia="宋体" w:hAnsi="Calibri"/>
      <w:b/>
      <w:bCs/>
      <w:kern w:val="2"/>
      <w:sz w:val="21"/>
      <w:szCs w:val="24"/>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995</Words>
  <Pages>3</Pages>
  <Characters>1078</Characters>
  <Application>WPS Office</Application>
  <DocSecurity>0</DocSecurity>
  <Paragraphs>52</Paragraphs>
  <ScaleCrop>false</ScaleCrop>
  <Company>Lenovo</Company>
  <LinksUpToDate>false</LinksUpToDate>
  <CharactersWithSpaces>1200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2023-08-02T14:22:00Z</dcterms:created>
  <dc:creator>竹子</dc:creator>
  <lastModifiedBy>SM-S9280</lastModifiedBy>
  <lastPrinted>2019-08-28T13:58:00Z</lastPrinted>
  <dcterms:modified xsi:type="dcterms:W3CDTF">2024-08-21T03:04:08Z</dcterms:modified>
  <revision>4</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2052-12.15.2</vt:lpwstr>
  </property>
  <property fmtid="{D5CDD505-2E9C-101B-9397-08002B2CF9AE}" pid="3" name="ICV">
    <vt:lpwstr>181394CD89C64D1F2BBFBC66CE4C9A99_33</vt:lpwstr>
  </property>
</Properties>
</file>